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16F49">
      <w:pPr>
        <w:pStyle w:val="3"/>
        <w:widowControl/>
        <w:snapToGrid w:val="0"/>
        <w:spacing w:before="0" w:after="0" w:line="360" w:lineRule="auto"/>
        <w:jc w:val="center"/>
        <w:rPr>
          <w:rFonts w:hint="eastAsia" w:ascii="宋体" w:hAnsi="宋体"/>
          <w:color w:val="auto"/>
          <w:highlight w:val="none"/>
        </w:rPr>
      </w:pPr>
      <w:r>
        <w:rPr>
          <w:rFonts w:hint="eastAsia" w:ascii="宋体" w:hAnsi="宋体"/>
          <w:color w:val="auto"/>
          <w:highlight w:val="none"/>
        </w:rPr>
        <w:t>采购需求及技术规格要求</w:t>
      </w:r>
    </w:p>
    <w:p w14:paraId="2CEBB2D3">
      <w:pPr>
        <w:keepNext/>
        <w:keepLines/>
        <w:widowControl/>
        <w:snapToGrid w:val="0"/>
        <w:spacing w:before="240" w:after="120" w:line="360" w:lineRule="auto"/>
        <w:outlineLvl w:val="2"/>
        <w:rPr>
          <w:b/>
          <w:bCs/>
          <w:color w:val="auto"/>
          <w:kern w:val="0"/>
          <w:sz w:val="28"/>
          <w:highlight w:val="none"/>
          <w:lang w:bidi="en-US"/>
        </w:rPr>
      </w:pPr>
      <w:r>
        <w:rPr>
          <w:rFonts w:hint="eastAsia"/>
          <w:b/>
          <w:bCs/>
          <w:color w:val="auto"/>
          <w:kern w:val="0"/>
          <w:sz w:val="28"/>
          <w:highlight w:val="none"/>
          <w:lang w:bidi="en-US"/>
        </w:rPr>
        <w:t>1、货物需求一览表</w:t>
      </w:r>
    </w:p>
    <w:p w14:paraId="3F14E5E5">
      <w:pPr>
        <w:spacing w:line="360" w:lineRule="auto"/>
        <w:jc w:val="center"/>
        <w:rPr>
          <w:rFonts w:ascii="宋体" w:hAnsi="宋体"/>
          <w:color w:val="auto"/>
          <w:szCs w:val="21"/>
          <w:highlight w:val="none"/>
        </w:rPr>
      </w:pPr>
      <w:r>
        <w:rPr>
          <w:rFonts w:hint="eastAsia" w:ascii="宋体" w:hAnsi="宋体"/>
          <w:color w:val="auto"/>
          <w:szCs w:val="21"/>
          <w:highlight w:val="none"/>
        </w:rPr>
        <w:t>表1 货物基本信息表</w:t>
      </w:r>
    </w:p>
    <w:tbl>
      <w:tblPr>
        <w:tblStyle w:val="4"/>
        <w:tblW w:w="7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3104"/>
        <w:gridCol w:w="1139"/>
        <w:gridCol w:w="2404"/>
      </w:tblGrid>
      <w:tr w14:paraId="0179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272" w:type="dxa"/>
            <w:tcBorders>
              <w:top w:val="single" w:color="auto" w:sz="4" w:space="0"/>
              <w:left w:val="single" w:color="auto" w:sz="4" w:space="0"/>
              <w:bottom w:val="single" w:color="auto" w:sz="4" w:space="0"/>
              <w:right w:val="single" w:color="auto" w:sz="4" w:space="0"/>
            </w:tcBorders>
            <w:noWrap w:val="0"/>
            <w:vAlign w:val="bottom"/>
          </w:tcPr>
          <w:p w14:paraId="0B4AAF93">
            <w:pPr>
              <w:adjustRightInd w:val="0"/>
              <w:snapToGrid w:val="0"/>
              <w:spacing w:line="360" w:lineRule="auto"/>
              <w:jc w:val="center"/>
              <w:rPr>
                <w:rFonts w:hint="eastAsia"/>
                <w:color w:val="auto"/>
                <w:szCs w:val="21"/>
                <w:highlight w:val="none"/>
              </w:rPr>
            </w:pPr>
            <w:r>
              <w:rPr>
                <w:rFonts w:hint="eastAsia"/>
                <w:color w:val="auto"/>
                <w:szCs w:val="21"/>
                <w:highlight w:val="none"/>
              </w:rPr>
              <w:t>序号</w:t>
            </w:r>
          </w:p>
        </w:tc>
        <w:tc>
          <w:tcPr>
            <w:tcW w:w="3104" w:type="dxa"/>
            <w:tcBorders>
              <w:top w:val="single" w:color="auto" w:sz="4" w:space="0"/>
              <w:left w:val="single" w:color="auto" w:sz="4" w:space="0"/>
              <w:bottom w:val="single" w:color="auto" w:sz="4" w:space="0"/>
              <w:right w:val="single" w:color="auto" w:sz="4" w:space="0"/>
            </w:tcBorders>
            <w:noWrap w:val="0"/>
            <w:vAlign w:val="bottom"/>
          </w:tcPr>
          <w:p w14:paraId="79ECC6BD">
            <w:pPr>
              <w:adjustRightInd w:val="0"/>
              <w:snapToGrid w:val="0"/>
              <w:spacing w:line="360" w:lineRule="auto"/>
              <w:jc w:val="center"/>
              <w:rPr>
                <w:color w:val="auto"/>
                <w:szCs w:val="21"/>
                <w:highlight w:val="none"/>
              </w:rPr>
            </w:pPr>
            <w:r>
              <w:rPr>
                <w:rFonts w:hint="eastAsia"/>
                <w:color w:val="auto"/>
                <w:szCs w:val="21"/>
                <w:highlight w:val="none"/>
              </w:rPr>
              <w:t>货物名称</w:t>
            </w:r>
          </w:p>
        </w:tc>
        <w:tc>
          <w:tcPr>
            <w:tcW w:w="1139" w:type="dxa"/>
            <w:tcBorders>
              <w:top w:val="single" w:color="auto" w:sz="4" w:space="0"/>
              <w:left w:val="single" w:color="auto" w:sz="4" w:space="0"/>
              <w:bottom w:val="single" w:color="auto" w:sz="4" w:space="0"/>
              <w:right w:val="single" w:color="auto" w:sz="4" w:space="0"/>
            </w:tcBorders>
            <w:noWrap w:val="0"/>
            <w:vAlign w:val="bottom"/>
          </w:tcPr>
          <w:p w14:paraId="43AB5191">
            <w:pPr>
              <w:adjustRightInd w:val="0"/>
              <w:snapToGrid w:val="0"/>
              <w:spacing w:line="360" w:lineRule="auto"/>
              <w:jc w:val="center"/>
              <w:rPr>
                <w:color w:val="auto"/>
                <w:szCs w:val="21"/>
                <w:highlight w:val="none"/>
              </w:rPr>
            </w:pPr>
            <w:r>
              <w:rPr>
                <w:rFonts w:hint="eastAsia"/>
                <w:color w:val="auto"/>
                <w:szCs w:val="21"/>
                <w:highlight w:val="none"/>
              </w:rPr>
              <w:t>数量</w:t>
            </w:r>
          </w:p>
        </w:tc>
        <w:tc>
          <w:tcPr>
            <w:tcW w:w="2404" w:type="dxa"/>
            <w:tcBorders>
              <w:top w:val="single" w:color="auto" w:sz="4" w:space="0"/>
              <w:left w:val="single" w:color="auto" w:sz="4" w:space="0"/>
              <w:bottom w:val="single" w:color="auto" w:sz="4" w:space="0"/>
              <w:right w:val="single" w:color="auto" w:sz="4" w:space="0"/>
            </w:tcBorders>
            <w:noWrap w:val="0"/>
            <w:vAlign w:val="bottom"/>
          </w:tcPr>
          <w:p w14:paraId="39E1B825">
            <w:pPr>
              <w:adjustRightInd w:val="0"/>
              <w:snapToGrid w:val="0"/>
              <w:spacing w:line="360" w:lineRule="auto"/>
              <w:jc w:val="center"/>
              <w:rPr>
                <w:color w:val="auto"/>
                <w:szCs w:val="21"/>
                <w:highlight w:val="none"/>
              </w:rPr>
            </w:pPr>
            <w:r>
              <w:rPr>
                <w:rFonts w:hint="eastAsia"/>
                <w:color w:val="auto"/>
                <w:szCs w:val="21"/>
                <w:highlight w:val="none"/>
              </w:rPr>
              <w:t>交货期</w:t>
            </w:r>
          </w:p>
        </w:tc>
      </w:tr>
      <w:tr w14:paraId="4B3B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72" w:type="dxa"/>
            <w:tcBorders>
              <w:top w:val="single" w:color="auto" w:sz="4" w:space="0"/>
              <w:left w:val="single" w:color="auto" w:sz="4" w:space="0"/>
              <w:bottom w:val="single" w:color="auto" w:sz="4" w:space="0"/>
              <w:right w:val="single" w:color="auto" w:sz="4" w:space="0"/>
            </w:tcBorders>
            <w:noWrap w:val="0"/>
            <w:vAlign w:val="bottom"/>
          </w:tcPr>
          <w:p w14:paraId="133DD6BE">
            <w:pPr>
              <w:adjustRightInd w:val="0"/>
              <w:snapToGrid w:val="0"/>
              <w:spacing w:line="360" w:lineRule="auto"/>
              <w:jc w:val="center"/>
              <w:rPr>
                <w:color w:val="auto"/>
                <w:szCs w:val="21"/>
                <w:highlight w:val="none"/>
              </w:rPr>
            </w:pPr>
            <w:r>
              <w:rPr>
                <w:color w:val="auto"/>
                <w:szCs w:val="21"/>
                <w:highlight w:val="none"/>
              </w:rPr>
              <w:t>1</w:t>
            </w:r>
          </w:p>
        </w:tc>
        <w:tc>
          <w:tcPr>
            <w:tcW w:w="3104" w:type="dxa"/>
            <w:tcBorders>
              <w:top w:val="single" w:color="auto" w:sz="4" w:space="0"/>
              <w:left w:val="single" w:color="auto" w:sz="4" w:space="0"/>
              <w:bottom w:val="single" w:color="auto" w:sz="4" w:space="0"/>
              <w:right w:val="single" w:color="auto" w:sz="4" w:space="0"/>
            </w:tcBorders>
            <w:noWrap w:val="0"/>
            <w:vAlign w:val="bottom"/>
          </w:tcPr>
          <w:p w14:paraId="799E2EE9">
            <w:pPr>
              <w:adjustRightInd w:val="0"/>
              <w:snapToGrid w:val="0"/>
              <w:spacing w:line="360" w:lineRule="auto"/>
              <w:jc w:val="center"/>
              <w:rPr>
                <w:color w:val="auto"/>
                <w:szCs w:val="21"/>
                <w:highlight w:val="none"/>
              </w:rPr>
            </w:pPr>
            <w:r>
              <w:rPr>
                <w:rFonts w:hint="eastAsia"/>
                <w:color w:val="auto"/>
                <w:szCs w:val="21"/>
                <w:highlight w:val="none"/>
              </w:rPr>
              <w:t>激光</w:t>
            </w:r>
            <w:r>
              <w:rPr>
                <w:color w:val="auto"/>
                <w:szCs w:val="21"/>
                <w:highlight w:val="none"/>
              </w:rPr>
              <w:t>-</w:t>
            </w:r>
            <w:r>
              <w:rPr>
                <w:rFonts w:hint="eastAsia"/>
                <w:color w:val="auto"/>
                <w:szCs w:val="21"/>
                <w:highlight w:val="none"/>
              </w:rPr>
              <w:t>电弧复合焊接系统</w:t>
            </w:r>
          </w:p>
        </w:tc>
        <w:tc>
          <w:tcPr>
            <w:tcW w:w="1139" w:type="dxa"/>
            <w:tcBorders>
              <w:top w:val="single" w:color="auto" w:sz="4" w:space="0"/>
              <w:left w:val="single" w:color="auto" w:sz="4" w:space="0"/>
              <w:bottom w:val="single" w:color="auto" w:sz="4" w:space="0"/>
              <w:right w:val="single" w:color="auto" w:sz="4" w:space="0"/>
            </w:tcBorders>
            <w:noWrap w:val="0"/>
            <w:vAlign w:val="bottom"/>
          </w:tcPr>
          <w:p w14:paraId="20A86E8A">
            <w:pPr>
              <w:adjustRightInd w:val="0"/>
              <w:snapToGrid w:val="0"/>
              <w:spacing w:line="360" w:lineRule="auto"/>
              <w:jc w:val="center"/>
              <w:rPr>
                <w:color w:val="auto"/>
                <w:szCs w:val="21"/>
                <w:highlight w:val="none"/>
              </w:rPr>
            </w:pPr>
            <w:r>
              <w:rPr>
                <w:color w:val="auto"/>
                <w:szCs w:val="21"/>
                <w:highlight w:val="none"/>
              </w:rPr>
              <w:t>1</w:t>
            </w:r>
            <w:r>
              <w:rPr>
                <w:rFonts w:hint="eastAsia"/>
                <w:color w:val="auto"/>
                <w:szCs w:val="21"/>
                <w:highlight w:val="none"/>
              </w:rPr>
              <w:t>套</w:t>
            </w:r>
          </w:p>
        </w:tc>
        <w:tc>
          <w:tcPr>
            <w:tcW w:w="2404" w:type="dxa"/>
            <w:tcBorders>
              <w:top w:val="single" w:color="auto" w:sz="4" w:space="0"/>
              <w:left w:val="single" w:color="auto" w:sz="4" w:space="0"/>
              <w:bottom w:val="single" w:color="auto" w:sz="4" w:space="0"/>
              <w:right w:val="single" w:color="auto" w:sz="4" w:space="0"/>
            </w:tcBorders>
            <w:noWrap w:val="0"/>
            <w:vAlign w:val="bottom"/>
          </w:tcPr>
          <w:p w14:paraId="50D50A4D">
            <w:pPr>
              <w:adjustRightInd w:val="0"/>
              <w:snapToGrid w:val="0"/>
              <w:spacing w:line="360" w:lineRule="auto"/>
              <w:jc w:val="center"/>
              <w:rPr>
                <w:color w:val="auto"/>
                <w:szCs w:val="21"/>
                <w:highlight w:val="none"/>
              </w:rPr>
            </w:pPr>
            <w:r>
              <w:rPr>
                <w:rFonts w:hint="eastAsia"/>
                <w:color w:val="auto"/>
                <w:szCs w:val="21"/>
                <w:highlight w:val="none"/>
              </w:rPr>
              <w:t>合同签订后</w:t>
            </w:r>
            <w:r>
              <w:rPr>
                <w:color w:val="auto"/>
                <w:szCs w:val="21"/>
                <w:highlight w:val="none"/>
              </w:rPr>
              <w:t>5</w:t>
            </w:r>
            <w:r>
              <w:rPr>
                <w:rFonts w:hint="eastAsia"/>
                <w:color w:val="auto"/>
                <w:szCs w:val="21"/>
                <w:highlight w:val="none"/>
              </w:rPr>
              <w:t>个月内</w:t>
            </w:r>
          </w:p>
        </w:tc>
      </w:tr>
    </w:tbl>
    <w:p w14:paraId="31E84245">
      <w:pPr>
        <w:keepNext/>
        <w:keepLines/>
        <w:widowControl/>
        <w:snapToGrid w:val="0"/>
        <w:spacing w:before="240" w:after="120" w:line="360" w:lineRule="auto"/>
        <w:outlineLvl w:val="2"/>
        <w:rPr>
          <w:b/>
          <w:bCs/>
          <w:color w:val="auto"/>
          <w:kern w:val="0"/>
          <w:sz w:val="28"/>
          <w:highlight w:val="none"/>
          <w:lang w:bidi="en-US"/>
        </w:rPr>
      </w:pPr>
      <w:r>
        <w:rPr>
          <w:rFonts w:hint="eastAsia"/>
          <w:b/>
          <w:bCs/>
          <w:color w:val="auto"/>
          <w:kern w:val="0"/>
          <w:sz w:val="28"/>
          <w:highlight w:val="none"/>
          <w:lang w:bidi="en-US"/>
        </w:rPr>
        <w:t>2、工程技术要求</w:t>
      </w:r>
    </w:p>
    <w:p w14:paraId="1EFB1C49">
      <w:pPr>
        <w:keepNext/>
        <w:keepLines/>
        <w:widowControl/>
        <w:numPr>
          <w:ilvl w:val="1"/>
          <w:numId w:val="0"/>
        </w:numPr>
        <w:tabs>
          <w:tab w:val="left" w:pos="0"/>
          <w:tab w:val="left" w:pos="708"/>
        </w:tabs>
        <w:spacing w:before="240" w:after="120" w:line="360" w:lineRule="auto"/>
        <w:outlineLvl w:val="3"/>
        <w:rPr>
          <w:b/>
          <w:bCs/>
          <w:iCs/>
          <w:color w:val="auto"/>
          <w:kern w:val="0"/>
          <w:sz w:val="28"/>
          <w:highlight w:val="none"/>
          <w:lang w:bidi="en-US"/>
        </w:rPr>
      </w:pPr>
      <w:r>
        <w:rPr>
          <w:rFonts w:hint="eastAsia"/>
          <w:b/>
          <w:bCs/>
          <w:iCs/>
          <w:color w:val="auto"/>
          <w:kern w:val="0"/>
          <w:sz w:val="28"/>
          <w:highlight w:val="none"/>
          <w:lang w:bidi="en-US"/>
        </w:rPr>
        <w:t>2</w:t>
      </w:r>
      <w:r>
        <w:rPr>
          <w:b/>
          <w:bCs/>
          <w:iCs/>
          <w:color w:val="auto"/>
          <w:kern w:val="0"/>
          <w:sz w:val="28"/>
          <w:highlight w:val="none"/>
          <w:lang w:bidi="en-US"/>
        </w:rPr>
        <w:t xml:space="preserve">.1 </w:t>
      </w:r>
      <w:r>
        <w:rPr>
          <w:rFonts w:hint="eastAsia"/>
          <w:b/>
          <w:bCs/>
          <w:iCs/>
          <w:color w:val="auto"/>
          <w:kern w:val="0"/>
          <w:sz w:val="28"/>
          <w:highlight w:val="none"/>
          <w:lang w:bidi="en-US"/>
        </w:rPr>
        <w:t>设备的主要用途及功能</w:t>
      </w:r>
    </w:p>
    <w:p w14:paraId="3A9A9630">
      <w:pPr>
        <w:spacing w:line="360" w:lineRule="auto"/>
        <w:ind w:firstLine="480" w:firstLineChars="200"/>
        <w:rPr>
          <w:color w:val="auto"/>
          <w:sz w:val="24"/>
          <w:highlight w:val="none"/>
        </w:rPr>
      </w:pPr>
      <w:r>
        <w:rPr>
          <w:rFonts w:hint="eastAsia"/>
          <w:color w:val="auto"/>
          <w:sz w:val="24"/>
          <w:highlight w:val="none"/>
        </w:rPr>
        <w:t>主要用于磁约束核聚变部件的焊接，可实现激光</w:t>
      </w:r>
      <w:r>
        <w:rPr>
          <w:color w:val="auto"/>
          <w:sz w:val="24"/>
          <w:highlight w:val="none"/>
        </w:rPr>
        <w:t>-MIG/MAG/TIG</w:t>
      </w:r>
      <w:r>
        <w:rPr>
          <w:rFonts w:hint="eastAsia"/>
          <w:color w:val="auto"/>
          <w:sz w:val="24"/>
          <w:highlight w:val="none"/>
        </w:rPr>
        <w:t>电弧复合焊接，同时可实现激光自熔焊接、</w:t>
      </w:r>
      <w:r>
        <w:rPr>
          <w:color w:val="auto"/>
          <w:sz w:val="24"/>
          <w:highlight w:val="none"/>
        </w:rPr>
        <w:t>MIG/MAG/TIG</w:t>
      </w:r>
      <w:r>
        <w:rPr>
          <w:rFonts w:hint="eastAsia"/>
          <w:color w:val="auto"/>
          <w:sz w:val="24"/>
          <w:highlight w:val="none"/>
        </w:rPr>
        <w:t>电弧焊接功能。</w:t>
      </w:r>
    </w:p>
    <w:p w14:paraId="702BA30B">
      <w:pPr>
        <w:keepNext/>
        <w:keepLines/>
        <w:widowControl/>
        <w:numPr>
          <w:ilvl w:val="1"/>
          <w:numId w:val="0"/>
        </w:numPr>
        <w:tabs>
          <w:tab w:val="left" w:pos="0"/>
          <w:tab w:val="left" w:pos="708"/>
        </w:tabs>
        <w:spacing w:before="240" w:after="120" w:line="360" w:lineRule="auto"/>
        <w:outlineLvl w:val="3"/>
        <w:rPr>
          <w:b/>
          <w:bCs/>
          <w:iCs/>
          <w:color w:val="auto"/>
          <w:kern w:val="0"/>
          <w:sz w:val="28"/>
          <w:highlight w:val="none"/>
          <w:lang w:bidi="en-US"/>
        </w:rPr>
      </w:pPr>
      <w:r>
        <w:rPr>
          <w:rFonts w:hint="eastAsia"/>
          <w:b/>
          <w:bCs/>
          <w:iCs/>
          <w:color w:val="auto"/>
          <w:kern w:val="0"/>
          <w:sz w:val="28"/>
          <w:highlight w:val="none"/>
          <w:lang w:bidi="en-US"/>
        </w:rPr>
        <w:t>2</w:t>
      </w:r>
      <w:r>
        <w:rPr>
          <w:b/>
          <w:bCs/>
          <w:iCs/>
          <w:color w:val="auto"/>
          <w:kern w:val="0"/>
          <w:sz w:val="28"/>
          <w:highlight w:val="none"/>
          <w:lang w:bidi="en-US"/>
        </w:rPr>
        <w:t xml:space="preserve">.2 </w:t>
      </w:r>
      <w:r>
        <w:rPr>
          <w:rFonts w:hint="eastAsia"/>
          <w:b/>
          <w:bCs/>
          <w:iCs/>
          <w:color w:val="auto"/>
          <w:kern w:val="0"/>
          <w:sz w:val="28"/>
          <w:highlight w:val="none"/>
          <w:lang w:bidi="en-US"/>
        </w:rPr>
        <w:t>通用要求</w:t>
      </w:r>
    </w:p>
    <w:p w14:paraId="51D705CB">
      <w:pPr>
        <w:numPr>
          <w:ilvl w:val="2"/>
          <w:numId w:val="0"/>
        </w:numPr>
        <w:spacing w:line="360" w:lineRule="auto"/>
        <w:rPr>
          <w:color w:val="auto"/>
          <w:sz w:val="24"/>
          <w:highlight w:val="none"/>
        </w:rPr>
      </w:pPr>
      <w:r>
        <w:rPr>
          <w:rFonts w:hint="eastAsia"/>
          <w:color w:val="auto"/>
          <w:sz w:val="24"/>
          <w:highlight w:val="none"/>
        </w:rPr>
        <w:t>2</w:t>
      </w:r>
      <w:r>
        <w:rPr>
          <w:color w:val="auto"/>
          <w:sz w:val="24"/>
          <w:highlight w:val="none"/>
        </w:rPr>
        <w:t>.2.</w:t>
      </w:r>
      <w:r>
        <w:rPr>
          <w:rFonts w:hint="eastAsia"/>
          <w:color w:val="auto"/>
          <w:sz w:val="24"/>
          <w:highlight w:val="none"/>
          <w:lang w:val="en-US" w:eastAsia="zh-CN"/>
        </w:rPr>
        <w:t>1</w:t>
      </w:r>
      <w:r>
        <w:rPr>
          <w:color w:val="auto"/>
          <w:sz w:val="24"/>
          <w:highlight w:val="none"/>
        </w:rPr>
        <w:t xml:space="preserve"> </w:t>
      </w:r>
      <w:r>
        <w:rPr>
          <w:rFonts w:hint="eastAsia"/>
          <w:color w:val="auto"/>
          <w:sz w:val="24"/>
          <w:highlight w:val="none"/>
        </w:rPr>
        <w:t>本设备（包括所有零部件、备品备件及其涉及附件等）必须是全新的，选用优质材料制造，所选用的机械、液压、电气等元器件是优质、成熟、可靠的产品。</w:t>
      </w:r>
    </w:p>
    <w:p w14:paraId="034ED13A">
      <w:pPr>
        <w:numPr>
          <w:ilvl w:val="2"/>
          <w:numId w:val="0"/>
        </w:numPr>
        <w:spacing w:line="360" w:lineRule="auto"/>
        <w:rPr>
          <w:color w:val="auto"/>
          <w:sz w:val="24"/>
          <w:highlight w:val="none"/>
        </w:rPr>
      </w:pPr>
      <w:r>
        <w:rPr>
          <w:rFonts w:hint="eastAsia"/>
          <w:color w:val="auto"/>
          <w:sz w:val="24"/>
          <w:highlight w:val="none"/>
        </w:rPr>
        <w:t>2</w:t>
      </w:r>
      <w:r>
        <w:rPr>
          <w:color w:val="auto"/>
          <w:sz w:val="24"/>
          <w:highlight w:val="none"/>
        </w:rPr>
        <w:t>.2.</w:t>
      </w:r>
      <w:r>
        <w:rPr>
          <w:rFonts w:hint="eastAsia"/>
          <w:color w:val="auto"/>
          <w:sz w:val="24"/>
          <w:highlight w:val="none"/>
          <w:lang w:val="en-US" w:eastAsia="zh-CN"/>
        </w:rPr>
        <w:t>2</w:t>
      </w:r>
      <w:r>
        <w:rPr>
          <w:color w:val="auto"/>
          <w:sz w:val="24"/>
          <w:highlight w:val="none"/>
        </w:rPr>
        <w:t xml:space="preserve"> </w:t>
      </w:r>
      <w:r>
        <w:rPr>
          <w:rFonts w:hint="eastAsia"/>
          <w:color w:val="auto"/>
          <w:sz w:val="24"/>
          <w:highlight w:val="none"/>
        </w:rPr>
        <w:t>本设备必须成熟、可靠，设计合理，操作便捷，易于维护和维修，能长期稳定运行。</w:t>
      </w:r>
    </w:p>
    <w:p w14:paraId="4BE28B7A">
      <w:pPr>
        <w:numPr>
          <w:ilvl w:val="2"/>
          <w:numId w:val="0"/>
        </w:numPr>
        <w:spacing w:line="360" w:lineRule="auto"/>
        <w:rPr>
          <w:color w:val="auto"/>
          <w:sz w:val="24"/>
          <w:highlight w:val="none"/>
        </w:rPr>
      </w:pPr>
      <w:r>
        <w:rPr>
          <w:color w:val="auto"/>
          <w:sz w:val="24"/>
          <w:highlight w:val="none"/>
        </w:rPr>
        <w:t>2.2.</w:t>
      </w:r>
      <w:r>
        <w:rPr>
          <w:rFonts w:hint="eastAsia"/>
          <w:color w:val="auto"/>
          <w:sz w:val="24"/>
          <w:highlight w:val="none"/>
          <w:lang w:val="en-US" w:eastAsia="zh-CN"/>
        </w:rPr>
        <w:t>3</w:t>
      </w:r>
      <w:r>
        <w:rPr>
          <w:color w:val="auto"/>
          <w:sz w:val="24"/>
          <w:highlight w:val="none"/>
        </w:rPr>
        <w:t xml:space="preserve"> </w:t>
      </w:r>
      <w:r>
        <w:rPr>
          <w:rFonts w:hint="eastAsia"/>
          <w:color w:val="auto"/>
          <w:sz w:val="24"/>
          <w:highlight w:val="none"/>
        </w:rPr>
        <w:t>本设备安全性能符合国家、行业最新相关技术规范、强制性标准的有关规定，具备可靠的安全、报警、防护措施。法律法规对设备安全性有特殊要求的，应当符合有关产品质量的强制国家标准、行业标准。</w:t>
      </w:r>
      <w:r>
        <w:rPr>
          <w:color w:val="auto"/>
          <w:sz w:val="24"/>
          <w:highlight w:val="none"/>
        </w:rPr>
        <w:t xml:space="preserve"> </w:t>
      </w:r>
    </w:p>
    <w:p w14:paraId="504C768A">
      <w:pPr>
        <w:numPr>
          <w:ilvl w:val="2"/>
          <w:numId w:val="0"/>
        </w:numPr>
        <w:spacing w:line="360" w:lineRule="auto"/>
        <w:rPr>
          <w:color w:val="auto"/>
          <w:sz w:val="24"/>
          <w:highlight w:val="none"/>
        </w:rPr>
      </w:pPr>
      <w:r>
        <w:rPr>
          <w:rFonts w:hint="eastAsia"/>
          <w:color w:val="auto"/>
          <w:sz w:val="24"/>
          <w:highlight w:val="none"/>
        </w:rPr>
        <w:t>2</w:t>
      </w:r>
      <w:r>
        <w:rPr>
          <w:color w:val="auto"/>
          <w:sz w:val="24"/>
          <w:highlight w:val="none"/>
        </w:rPr>
        <w:t>.2.</w:t>
      </w:r>
      <w:r>
        <w:rPr>
          <w:rFonts w:hint="eastAsia"/>
          <w:color w:val="auto"/>
          <w:sz w:val="24"/>
          <w:highlight w:val="none"/>
          <w:lang w:val="en-US" w:eastAsia="zh-CN"/>
        </w:rPr>
        <w:t>4</w:t>
      </w:r>
      <w:r>
        <w:rPr>
          <w:color w:val="auto"/>
          <w:sz w:val="24"/>
          <w:highlight w:val="none"/>
        </w:rPr>
        <w:t xml:space="preserve"> </w:t>
      </w:r>
      <w:r>
        <w:rPr>
          <w:rFonts w:hint="eastAsia"/>
          <w:color w:val="auto"/>
          <w:sz w:val="24"/>
          <w:highlight w:val="none"/>
        </w:rPr>
        <w:t>本设备应符合国家、地方环保方面强制性标准、相关技术规范的有关规定。</w:t>
      </w:r>
    </w:p>
    <w:p w14:paraId="792B5280">
      <w:pPr>
        <w:numPr>
          <w:ilvl w:val="2"/>
          <w:numId w:val="0"/>
        </w:numPr>
        <w:spacing w:line="360" w:lineRule="auto"/>
        <w:rPr>
          <w:color w:val="auto"/>
          <w:sz w:val="24"/>
          <w:highlight w:val="none"/>
        </w:rPr>
      </w:pPr>
      <w:r>
        <w:rPr>
          <w:rFonts w:hint="eastAsia"/>
          <w:color w:val="auto"/>
          <w:sz w:val="24"/>
          <w:highlight w:val="none"/>
        </w:rPr>
        <w:t>2</w:t>
      </w:r>
      <w:r>
        <w:rPr>
          <w:color w:val="auto"/>
          <w:sz w:val="24"/>
          <w:highlight w:val="none"/>
        </w:rPr>
        <w:t>.2.</w:t>
      </w:r>
      <w:r>
        <w:rPr>
          <w:rFonts w:hint="eastAsia"/>
          <w:color w:val="auto"/>
          <w:sz w:val="24"/>
          <w:highlight w:val="none"/>
          <w:lang w:val="en-US" w:eastAsia="zh-CN"/>
        </w:rPr>
        <w:t>5</w:t>
      </w:r>
      <w:r>
        <w:rPr>
          <w:color w:val="auto"/>
          <w:sz w:val="24"/>
          <w:highlight w:val="none"/>
        </w:rPr>
        <w:t xml:space="preserve"> </w:t>
      </w:r>
      <w:r>
        <w:rPr>
          <w:rFonts w:hint="eastAsia"/>
          <w:color w:val="auto"/>
          <w:sz w:val="24"/>
          <w:highlight w:val="none"/>
        </w:rPr>
        <w:t>本设备的技术文件、标识、检测中所有计量单位均采用国家法定计量单位。</w:t>
      </w:r>
    </w:p>
    <w:p w14:paraId="5716F0D0">
      <w:pPr>
        <w:numPr>
          <w:ilvl w:val="2"/>
          <w:numId w:val="0"/>
        </w:numPr>
        <w:spacing w:line="360" w:lineRule="auto"/>
        <w:rPr>
          <w:color w:val="auto"/>
          <w:sz w:val="24"/>
          <w:highlight w:val="none"/>
        </w:rPr>
      </w:pPr>
      <w:r>
        <w:rPr>
          <w:color w:val="auto"/>
          <w:sz w:val="24"/>
          <w:highlight w:val="none"/>
        </w:rPr>
        <w:t>2.2.</w:t>
      </w:r>
      <w:r>
        <w:rPr>
          <w:rFonts w:hint="eastAsia"/>
          <w:color w:val="auto"/>
          <w:sz w:val="24"/>
          <w:highlight w:val="none"/>
          <w:lang w:val="en-US" w:eastAsia="zh-CN"/>
        </w:rPr>
        <w:t>6</w:t>
      </w:r>
      <w:r>
        <w:rPr>
          <w:color w:val="auto"/>
          <w:sz w:val="24"/>
          <w:highlight w:val="none"/>
        </w:rPr>
        <w:t xml:space="preserve"> </w:t>
      </w:r>
      <w:r>
        <w:rPr>
          <w:rFonts w:hint="eastAsia"/>
          <w:color w:val="auto"/>
          <w:sz w:val="24"/>
          <w:highlight w:val="none"/>
        </w:rPr>
        <w:t>卖方在投标文件中对招标技术条件须逐条作出响应，投标文件技术方案不得简单复制招标技术条件，应提供可证性材料，包括设备组成及功能说明、主要部件清单和设计方案等。</w:t>
      </w:r>
    </w:p>
    <w:p w14:paraId="72CB6295">
      <w:pPr>
        <w:numPr>
          <w:ilvl w:val="2"/>
          <w:numId w:val="0"/>
        </w:numPr>
        <w:spacing w:line="360" w:lineRule="auto"/>
        <w:rPr>
          <w:color w:val="auto"/>
          <w:sz w:val="24"/>
          <w:highlight w:val="none"/>
        </w:rPr>
      </w:pPr>
      <w:r>
        <w:rPr>
          <w:rFonts w:hint="eastAsia"/>
          <w:color w:val="auto"/>
          <w:sz w:val="24"/>
          <w:highlight w:val="none"/>
        </w:rPr>
        <w:t>2</w:t>
      </w:r>
      <w:r>
        <w:rPr>
          <w:color w:val="auto"/>
          <w:sz w:val="24"/>
          <w:highlight w:val="none"/>
        </w:rPr>
        <w:t>.2.</w:t>
      </w:r>
      <w:r>
        <w:rPr>
          <w:rFonts w:hint="eastAsia"/>
          <w:color w:val="auto"/>
          <w:sz w:val="24"/>
          <w:highlight w:val="none"/>
          <w:lang w:val="en-US" w:eastAsia="zh-CN"/>
        </w:rPr>
        <w:t>7</w:t>
      </w:r>
      <w:bookmarkStart w:id="0" w:name="_GoBack"/>
      <w:bookmarkEnd w:id="0"/>
      <w:r>
        <w:rPr>
          <w:rFonts w:ascii="宋体" w:hAnsi="宋体"/>
          <w:color w:val="auto"/>
          <w:sz w:val="24"/>
          <w:highlight w:val="none"/>
        </w:rPr>
        <w:t xml:space="preserve"> </w:t>
      </w:r>
      <w:r>
        <w:rPr>
          <w:rFonts w:hint="eastAsia"/>
          <w:color w:val="auto"/>
          <w:sz w:val="24"/>
          <w:highlight w:val="none"/>
        </w:rPr>
        <w:t>本项目为</w:t>
      </w:r>
      <w:r>
        <w:rPr>
          <w:color w:val="auto"/>
          <w:sz w:val="24"/>
          <w:highlight w:val="none"/>
        </w:rPr>
        <w:t>“</w:t>
      </w:r>
      <w:r>
        <w:rPr>
          <w:rFonts w:hint="eastAsia"/>
          <w:color w:val="auto"/>
          <w:sz w:val="24"/>
          <w:highlight w:val="none"/>
        </w:rPr>
        <w:t>交钥匙</w:t>
      </w:r>
      <w:r>
        <w:rPr>
          <w:color w:val="auto"/>
          <w:sz w:val="24"/>
          <w:highlight w:val="none"/>
        </w:rPr>
        <w:t>”</w:t>
      </w:r>
      <w:r>
        <w:rPr>
          <w:rFonts w:hint="eastAsia"/>
          <w:color w:val="auto"/>
          <w:sz w:val="24"/>
          <w:highlight w:val="none"/>
        </w:rPr>
        <w:t>工程，卖方负责设备设计（设备总体方案、设备配置、技术指标）、制造、安装、调试、验收、人员培训、售后服务等内容。</w:t>
      </w:r>
    </w:p>
    <w:p w14:paraId="216A26A3">
      <w:pPr>
        <w:keepNext/>
        <w:keepLines/>
        <w:widowControl/>
        <w:numPr>
          <w:ilvl w:val="1"/>
          <w:numId w:val="0"/>
        </w:numPr>
        <w:tabs>
          <w:tab w:val="left" w:pos="0"/>
          <w:tab w:val="left" w:pos="708"/>
        </w:tabs>
        <w:spacing w:before="240" w:after="120" w:line="360" w:lineRule="auto"/>
        <w:outlineLvl w:val="3"/>
        <w:rPr>
          <w:b/>
          <w:bCs/>
          <w:iCs/>
          <w:color w:val="auto"/>
          <w:kern w:val="0"/>
          <w:sz w:val="28"/>
          <w:highlight w:val="none"/>
          <w:lang w:bidi="en-US"/>
        </w:rPr>
      </w:pPr>
      <w:r>
        <w:rPr>
          <w:rFonts w:hint="eastAsia"/>
          <w:b/>
          <w:bCs/>
          <w:iCs/>
          <w:color w:val="auto"/>
          <w:kern w:val="0"/>
          <w:sz w:val="28"/>
          <w:highlight w:val="none"/>
          <w:lang w:bidi="en-US"/>
        </w:rPr>
        <w:t>2</w:t>
      </w:r>
      <w:r>
        <w:rPr>
          <w:b/>
          <w:bCs/>
          <w:iCs/>
          <w:color w:val="auto"/>
          <w:kern w:val="0"/>
          <w:sz w:val="28"/>
          <w:highlight w:val="none"/>
          <w:lang w:bidi="en-US"/>
        </w:rPr>
        <w:t xml:space="preserve">.3 </w:t>
      </w:r>
      <w:r>
        <w:rPr>
          <w:rFonts w:hint="eastAsia"/>
          <w:b/>
          <w:bCs/>
          <w:iCs/>
          <w:color w:val="auto"/>
          <w:kern w:val="0"/>
          <w:sz w:val="28"/>
          <w:highlight w:val="none"/>
          <w:lang w:bidi="en-US"/>
        </w:rPr>
        <w:t>工作条件</w:t>
      </w:r>
    </w:p>
    <w:p w14:paraId="5E2FCDD5">
      <w:pPr>
        <w:spacing w:line="360" w:lineRule="auto"/>
        <w:ind w:left="440"/>
        <w:rPr>
          <w:color w:val="auto"/>
          <w:sz w:val="24"/>
          <w:highlight w:val="none"/>
        </w:rPr>
      </w:pPr>
      <w:r>
        <w:rPr>
          <w:rFonts w:hint="eastAsia"/>
          <w:color w:val="auto"/>
          <w:sz w:val="24"/>
          <w:highlight w:val="none"/>
        </w:rPr>
        <w:t>本设备使用环境及动能供应条件如下：</w:t>
      </w:r>
    </w:p>
    <w:p w14:paraId="24599871">
      <w:pPr>
        <w:spacing w:line="360" w:lineRule="auto"/>
        <w:ind w:firstLine="480" w:firstLineChars="200"/>
        <w:rPr>
          <w:color w:val="auto"/>
          <w:sz w:val="24"/>
          <w:szCs w:val="21"/>
          <w:highlight w:val="none"/>
        </w:rPr>
      </w:pPr>
      <w:r>
        <w:rPr>
          <w:color w:val="auto"/>
          <w:sz w:val="24"/>
          <w:szCs w:val="21"/>
          <w:highlight w:val="none"/>
        </w:rPr>
        <w:t>1</w:t>
      </w:r>
      <w:r>
        <w:rPr>
          <w:rFonts w:hint="eastAsia"/>
          <w:color w:val="auto"/>
          <w:sz w:val="24"/>
          <w:szCs w:val="21"/>
          <w:highlight w:val="none"/>
        </w:rPr>
        <w:t>）环境温度和相对湿度：（-</w:t>
      </w:r>
      <w:r>
        <w:rPr>
          <w:color w:val="auto"/>
          <w:sz w:val="24"/>
          <w:szCs w:val="21"/>
          <w:highlight w:val="none"/>
        </w:rPr>
        <w:t>5</w:t>
      </w:r>
      <w:r>
        <w:rPr>
          <w:rFonts w:hint="eastAsia"/>
          <w:color w:val="auto"/>
          <w:sz w:val="24"/>
          <w:szCs w:val="21"/>
          <w:highlight w:val="none"/>
        </w:rPr>
        <w:t>～</w:t>
      </w:r>
      <w:r>
        <w:rPr>
          <w:color w:val="auto"/>
          <w:sz w:val="24"/>
          <w:szCs w:val="21"/>
          <w:highlight w:val="none"/>
        </w:rPr>
        <w:t>+45</w:t>
      </w:r>
      <w:r>
        <w:rPr>
          <w:rFonts w:hint="eastAsia"/>
          <w:color w:val="auto"/>
          <w:sz w:val="24"/>
          <w:szCs w:val="21"/>
          <w:highlight w:val="none"/>
        </w:rPr>
        <w:t>）℃，≤</w:t>
      </w:r>
      <w:r>
        <w:rPr>
          <w:color w:val="auto"/>
          <w:sz w:val="24"/>
          <w:szCs w:val="21"/>
          <w:highlight w:val="none"/>
        </w:rPr>
        <w:t>50% RH</w:t>
      </w:r>
      <w:r>
        <w:rPr>
          <w:rFonts w:hint="eastAsia"/>
          <w:color w:val="auto"/>
          <w:sz w:val="24"/>
          <w:szCs w:val="21"/>
          <w:highlight w:val="none"/>
        </w:rPr>
        <w:t>；</w:t>
      </w:r>
    </w:p>
    <w:p w14:paraId="74931CE8">
      <w:pPr>
        <w:spacing w:line="360" w:lineRule="auto"/>
        <w:ind w:firstLine="480" w:firstLineChars="200"/>
        <w:rPr>
          <w:color w:val="auto"/>
          <w:sz w:val="24"/>
          <w:szCs w:val="21"/>
          <w:highlight w:val="none"/>
        </w:rPr>
      </w:pPr>
      <w:r>
        <w:rPr>
          <w:color w:val="auto"/>
          <w:sz w:val="24"/>
          <w:szCs w:val="21"/>
          <w:highlight w:val="none"/>
        </w:rPr>
        <w:t>2</w:t>
      </w:r>
      <w:r>
        <w:rPr>
          <w:rFonts w:hint="eastAsia"/>
          <w:color w:val="auto"/>
          <w:sz w:val="24"/>
          <w:szCs w:val="21"/>
          <w:highlight w:val="none"/>
        </w:rPr>
        <w:t>）电源：三相电压</w:t>
      </w:r>
      <w:r>
        <w:rPr>
          <w:color w:val="auto"/>
          <w:sz w:val="24"/>
          <w:szCs w:val="21"/>
          <w:highlight w:val="none"/>
        </w:rPr>
        <w:t>AC 380V</w:t>
      </w:r>
      <w:r>
        <w:rPr>
          <w:rFonts w:hint="eastAsia"/>
          <w:color w:val="auto"/>
          <w:sz w:val="24"/>
          <w:szCs w:val="21"/>
          <w:highlight w:val="none"/>
        </w:rPr>
        <w:t>±</w:t>
      </w:r>
      <w:r>
        <w:rPr>
          <w:color w:val="auto"/>
          <w:sz w:val="24"/>
          <w:szCs w:val="21"/>
          <w:highlight w:val="none"/>
        </w:rPr>
        <w:t>10%</w:t>
      </w:r>
      <w:r>
        <w:rPr>
          <w:rFonts w:hint="eastAsia"/>
          <w:color w:val="auto"/>
          <w:sz w:val="24"/>
          <w:szCs w:val="21"/>
          <w:highlight w:val="none"/>
        </w:rPr>
        <w:t>，单相电压</w:t>
      </w:r>
      <w:r>
        <w:rPr>
          <w:color w:val="auto"/>
          <w:sz w:val="24"/>
          <w:szCs w:val="21"/>
          <w:highlight w:val="none"/>
        </w:rPr>
        <w:t>AC 220V</w:t>
      </w:r>
      <w:r>
        <w:rPr>
          <w:rFonts w:hint="eastAsia"/>
          <w:color w:val="auto"/>
          <w:sz w:val="24"/>
          <w:szCs w:val="21"/>
          <w:highlight w:val="none"/>
        </w:rPr>
        <w:t>±</w:t>
      </w:r>
      <w:r>
        <w:rPr>
          <w:color w:val="auto"/>
          <w:sz w:val="24"/>
          <w:szCs w:val="21"/>
          <w:highlight w:val="none"/>
        </w:rPr>
        <w:t>10%</w:t>
      </w:r>
      <w:r>
        <w:rPr>
          <w:rFonts w:hint="eastAsia"/>
          <w:color w:val="auto"/>
          <w:sz w:val="24"/>
          <w:szCs w:val="21"/>
          <w:highlight w:val="none"/>
        </w:rPr>
        <w:t>，频率（</w:t>
      </w:r>
      <w:r>
        <w:rPr>
          <w:color w:val="auto"/>
          <w:sz w:val="24"/>
          <w:szCs w:val="21"/>
          <w:highlight w:val="none"/>
        </w:rPr>
        <w:t>50</w:t>
      </w:r>
      <w:r>
        <w:rPr>
          <w:rFonts w:hint="eastAsia"/>
          <w:color w:val="auto"/>
          <w:sz w:val="24"/>
          <w:szCs w:val="21"/>
          <w:highlight w:val="none"/>
        </w:rPr>
        <w:t>±</w:t>
      </w:r>
      <w:r>
        <w:rPr>
          <w:color w:val="auto"/>
          <w:sz w:val="24"/>
          <w:szCs w:val="21"/>
          <w:highlight w:val="none"/>
        </w:rPr>
        <w:t>1</w:t>
      </w:r>
      <w:r>
        <w:rPr>
          <w:rFonts w:hint="eastAsia"/>
          <w:color w:val="auto"/>
          <w:sz w:val="24"/>
          <w:szCs w:val="21"/>
          <w:highlight w:val="none"/>
        </w:rPr>
        <w:t>）</w:t>
      </w:r>
      <w:r>
        <w:rPr>
          <w:color w:val="auto"/>
          <w:sz w:val="24"/>
          <w:szCs w:val="21"/>
          <w:highlight w:val="none"/>
        </w:rPr>
        <w:t>Hz</w:t>
      </w:r>
      <w:r>
        <w:rPr>
          <w:rFonts w:hint="eastAsia"/>
          <w:color w:val="auto"/>
          <w:sz w:val="24"/>
          <w:szCs w:val="21"/>
          <w:highlight w:val="none"/>
        </w:rPr>
        <w:t>；</w:t>
      </w:r>
    </w:p>
    <w:p w14:paraId="59026BB7">
      <w:pPr>
        <w:spacing w:line="360" w:lineRule="auto"/>
        <w:ind w:firstLine="480" w:firstLineChars="200"/>
        <w:rPr>
          <w:color w:val="auto"/>
          <w:sz w:val="24"/>
          <w:szCs w:val="21"/>
          <w:highlight w:val="none"/>
        </w:rPr>
      </w:pPr>
      <w:r>
        <w:rPr>
          <w:color w:val="auto"/>
          <w:sz w:val="24"/>
          <w:szCs w:val="21"/>
          <w:highlight w:val="none"/>
        </w:rPr>
        <w:t>3</w:t>
      </w:r>
      <w:r>
        <w:rPr>
          <w:rFonts w:hint="eastAsia"/>
          <w:color w:val="auto"/>
          <w:sz w:val="24"/>
          <w:szCs w:val="21"/>
          <w:highlight w:val="none"/>
        </w:rPr>
        <w:t>）压缩空气：压力（</w:t>
      </w:r>
      <w:r>
        <w:rPr>
          <w:color w:val="auto"/>
          <w:sz w:val="24"/>
          <w:szCs w:val="21"/>
          <w:highlight w:val="none"/>
        </w:rPr>
        <w:t>0.6</w:t>
      </w:r>
      <w:r>
        <w:rPr>
          <w:rFonts w:hint="eastAsia"/>
          <w:color w:val="auto"/>
          <w:sz w:val="24"/>
          <w:szCs w:val="21"/>
          <w:highlight w:val="none"/>
        </w:rPr>
        <w:t>±</w:t>
      </w:r>
      <w:r>
        <w:rPr>
          <w:color w:val="auto"/>
          <w:sz w:val="24"/>
          <w:szCs w:val="21"/>
          <w:highlight w:val="none"/>
        </w:rPr>
        <w:t>0.05</w:t>
      </w:r>
      <w:r>
        <w:rPr>
          <w:rFonts w:hint="eastAsia"/>
          <w:color w:val="auto"/>
          <w:sz w:val="24"/>
          <w:szCs w:val="21"/>
          <w:highlight w:val="none"/>
        </w:rPr>
        <w:t>）</w:t>
      </w:r>
      <w:r>
        <w:rPr>
          <w:color w:val="auto"/>
          <w:sz w:val="24"/>
          <w:szCs w:val="21"/>
          <w:highlight w:val="none"/>
        </w:rPr>
        <w:t>MPa</w:t>
      </w:r>
      <w:r>
        <w:rPr>
          <w:rFonts w:hint="eastAsia"/>
          <w:color w:val="auto"/>
          <w:sz w:val="24"/>
          <w:szCs w:val="21"/>
          <w:highlight w:val="none"/>
        </w:rPr>
        <w:t>；</w:t>
      </w:r>
    </w:p>
    <w:p w14:paraId="32C16929">
      <w:pPr>
        <w:spacing w:line="360" w:lineRule="auto"/>
        <w:ind w:firstLine="480" w:firstLineChars="200"/>
        <w:rPr>
          <w:color w:val="auto"/>
          <w:sz w:val="24"/>
          <w:szCs w:val="21"/>
          <w:highlight w:val="none"/>
        </w:rPr>
      </w:pPr>
      <w:r>
        <w:rPr>
          <w:rFonts w:hint="eastAsia"/>
          <w:color w:val="auto"/>
          <w:sz w:val="24"/>
          <w:szCs w:val="21"/>
          <w:highlight w:val="none"/>
        </w:rPr>
        <w:t>如本设备对环境及动能供应条件有更高的要求，卖方应在投标时进行说明。</w:t>
      </w:r>
    </w:p>
    <w:p w14:paraId="3471400D">
      <w:pPr>
        <w:keepNext/>
        <w:keepLines/>
        <w:widowControl/>
        <w:numPr>
          <w:ilvl w:val="1"/>
          <w:numId w:val="0"/>
        </w:numPr>
        <w:tabs>
          <w:tab w:val="left" w:pos="0"/>
          <w:tab w:val="left" w:pos="708"/>
        </w:tabs>
        <w:spacing w:before="240" w:after="120" w:line="360" w:lineRule="auto"/>
        <w:outlineLvl w:val="3"/>
        <w:rPr>
          <w:b/>
          <w:bCs/>
          <w:iCs/>
          <w:color w:val="auto"/>
          <w:kern w:val="0"/>
          <w:sz w:val="28"/>
          <w:highlight w:val="none"/>
          <w:lang w:bidi="en-US"/>
        </w:rPr>
      </w:pPr>
      <w:r>
        <w:rPr>
          <w:b/>
          <w:bCs/>
          <w:iCs/>
          <w:color w:val="auto"/>
          <w:kern w:val="0"/>
          <w:sz w:val="28"/>
          <w:highlight w:val="none"/>
          <w:lang w:bidi="en-US"/>
        </w:rPr>
        <w:t xml:space="preserve">2.4 </w:t>
      </w:r>
      <w:r>
        <w:rPr>
          <w:rFonts w:hint="eastAsia"/>
          <w:b/>
          <w:bCs/>
          <w:iCs/>
          <w:color w:val="auto"/>
          <w:kern w:val="0"/>
          <w:sz w:val="28"/>
          <w:highlight w:val="none"/>
          <w:lang w:bidi="en-US"/>
        </w:rPr>
        <w:t>安全和环保要求</w:t>
      </w:r>
    </w:p>
    <w:p w14:paraId="3441D6FA">
      <w:pPr>
        <w:spacing w:line="360" w:lineRule="auto"/>
        <w:rPr>
          <w:color w:val="auto"/>
          <w:sz w:val="24"/>
          <w:highlight w:val="none"/>
        </w:rPr>
      </w:pPr>
      <w:r>
        <w:rPr>
          <w:rFonts w:hint="eastAsia"/>
          <w:color w:val="auto"/>
          <w:sz w:val="24"/>
          <w:highlight w:val="none"/>
        </w:rPr>
        <w:t>2</w:t>
      </w:r>
      <w:r>
        <w:rPr>
          <w:color w:val="auto"/>
          <w:sz w:val="24"/>
          <w:highlight w:val="none"/>
        </w:rPr>
        <w:t xml:space="preserve">.4.1 </w:t>
      </w:r>
      <w:r>
        <w:rPr>
          <w:rFonts w:hint="eastAsia"/>
          <w:color w:val="auto"/>
          <w:sz w:val="24"/>
          <w:highlight w:val="none"/>
        </w:rPr>
        <w:t>总体安全设计要求</w:t>
      </w:r>
    </w:p>
    <w:p w14:paraId="3B02E743">
      <w:pPr>
        <w:spacing w:line="360" w:lineRule="auto"/>
        <w:ind w:firstLine="480" w:firstLineChars="200"/>
        <w:rPr>
          <w:color w:val="auto"/>
          <w:sz w:val="24"/>
          <w:highlight w:val="none"/>
        </w:rPr>
      </w:pPr>
      <w:r>
        <w:rPr>
          <w:color w:val="auto"/>
          <w:sz w:val="24"/>
          <w:highlight w:val="none"/>
        </w:rPr>
        <w:t>1</w:t>
      </w:r>
      <w:r>
        <w:rPr>
          <w:rFonts w:hint="eastAsia"/>
          <w:color w:val="auto"/>
          <w:sz w:val="24"/>
          <w:highlight w:val="none"/>
        </w:rPr>
        <w:t>）设备外形、结构、布局、尺寸等应符合人机工学要求，布置合理、人员操作、观察方便。信息显示装置应耐久、清晰、含义明确易于理解，并应符合</w:t>
      </w:r>
      <w:r>
        <w:rPr>
          <w:color w:val="auto"/>
          <w:sz w:val="24"/>
          <w:highlight w:val="none"/>
        </w:rPr>
        <w:t>JB/T5062</w:t>
      </w:r>
      <w:r>
        <w:rPr>
          <w:rFonts w:hint="eastAsia"/>
          <w:color w:val="auto"/>
          <w:sz w:val="24"/>
          <w:highlight w:val="none"/>
        </w:rPr>
        <w:t>的有关规定。</w:t>
      </w:r>
    </w:p>
    <w:p w14:paraId="7885C12D">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rPr>
        <w:t>）设备存在不能避免或充分限制的危险，应采取必要的安全防护装置（防护装置、安全装置）。</w:t>
      </w:r>
    </w:p>
    <w:p w14:paraId="1BE41A7D">
      <w:pPr>
        <w:spacing w:line="360" w:lineRule="auto"/>
        <w:ind w:firstLine="480" w:firstLineChars="200"/>
        <w:rPr>
          <w:color w:val="auto"/>
          <w:sz w:val="24"/>
          <w:highlight w:val="none"/>
        </w:rPr>
      </w:pPr>
      <w:r>
        <w:rPr>
          <w:color w:val="auto"/>
          <w:sz w:val="24"/>
          <w:highlight w:val="none"/>
        </w:rPr>
        <w:t>3</w:t>
      </w:r>
      <w:r>
        <w:rPr>
          <w:rFonts w:hint="eastAsia"/>
          <w:color w:val="auto"/>
          <w:sz w:val="24"/>
          <w:highlight w:val="none"/>
        </w:rPr>
        <w:t>）对于无法通过设计排除或减少的，且安全防护装置对其无效或不完全有效的遗留危险，应用信息警告操作者。设备具有潜在风险处，均设有醒目的警示标识，警示操作人员进行安全操作。</w:t>
      </w:r>
    </w:p>
    <w:p w14:paraId="100A2E9B">
      <w:pPr>
        <w:spacing w:line="360" w:lineRule="auto"/>
        <w:ind w:firstLine="480" w:firstLineChars="200"/>
        <w:rPr>
          <w:color w:val="auto"/>
          <w:sz w:val="24"/>
          <w:highlight w:val="none"/>
        </w:rPr>
      </w:pPr>
      <w:r>
        <w:rPr>
          <w:rFonts w:hint="eastAsia"/>
          <w:color w:val="auto"/>
          <w:sz w:val="24"/>
          <w:highlight w:val="none"/>
        </w:rPr>
        <w:t>4）设备可接触的外露部分不应有可能导致人员伤害的锐边、尖角和开口。</w:t>
      </w:r>
    </w:p>
    <w:p w14:paraId="3E475FA5">
      <w:pPr>
        <w:spacing w:line="360" w:lineRule="auto"/>
        <w:ind w:firstLine="480" w:firstLineChars="200"/>
        <w:rPr>
          <w:color w:val="auto"/>
          <w:sz w:val="24"/>
          <w:highlight w:val="none"/>
        </w:rPr>
      </w:pPr>
      <w:r>
        <w:rPr>
          <w:color w:val="auto"/>
          <w:sz w:val="24"/>
          <w:highlight w:val="none"/>
        </w:rPr>
        <w:t>5</w:t>
      </w:r>
      <w:r>
        <w:rPr>
          <w:rFonts w:hint="eastAsia"/>
          <w:color w:val="auto"/>
          <w:sz w:val="24"/>
          <w:highlight w:val="none"/>
        </w:rPr>
        <w:t>）突出部分、移动部分、分离部分应采取安全措施，防止产生磕伤、碰伤、划伤、剐伤危险。</w:t>
      </w:r>
    </w:p>
    <w:p w14:paraId="3223E1C0">
      <w:pPr>
        <w:spacing w:line="360" w:lineRule="auto"/>
        <w:ind w:firstLine="480" w:firstLineChars="200"/>
        <w:rPr>
          <w:color w:val="auto"/>
          <w:sz w:val="24"/>
          <w:highlight w:val="none"/>
        </w:rPr>
      </w:pPr>
      <w:r>
        <w:rPr>
          <w:rFonts w:hint="eastAsia"/>
          <w:color w:val="auto"/>
          <w:sz w:val="24"/>
          <w:highlight w:val="none"/>
        </w:rPr>
        <w:t>6）设备各种管线布置排列应合理、美观、无障碍、有效固定。</w:t>
      </w:r>
    </w:p>
    <w:p w14:paraId="6BD245A5">
      <w:pPr>
        <w:numPr>
          <w:ilvl w:val="2"/>
          <w:numId w:val="0"/>
        </w:numPr>
        <w:spacing w:line="360" w:lineRule="auto"/>
        <w:rPr>
          <w:color w:val="auto"/>
          <w:sz w:val="24"/>
          <w:highlight w:val="none"/>
        </w:rPr>
      </w:pPr>
      <w:r>
        <w:rPr>
          <w:color w:val="auto"/>
          <w:sz w:val="24"/>
          <w:highlight w:val="none"/>
        </w:rPr>
        <w:t xml:space="preserve">2.4.2 </w:t>
      </w:r>
      <w:r>
        <w:rPr>
          <w:rFonts w:hint="eastAsia"/>
          <w:color w:val="auto"/>
          <w:sz w:val="24"/>
          <w:highlight w:val="none"/>
        </w:rPr>
        <w:t>运动部件安全要求</w:t>
      </w:r>
    </w:p>
    <w:p w14:paraId="469A5473">
      <w:pPr>
        <w:spacing w:line="360" w:lineRule="auto"/>
        <w:ind w:firstLine="480" w:firstLineChars="200"/>
        <w:rPr>
          <w:color w:val="auto"/>
          <w:sz w:val="24"/>
          <w:highlight w:val="none"/>
        </w:rPr>
      </w:pPr>
      <w:r>
        <w:rPr>
          <w:color w:val="auto"/>
          <w:sz w:val="24"/>
          <w:highlight w:val="none"/>
        </w:rPr>
        <w:t>1</w:t>
      </w:r>
      <w:r>
        <w:rPr>
          <w:rFonts w:hint="eastAsia"/>
          <w:color w:val="auto"/>
          <w:sz w:val="24"/>
          <w:highlight w:val="none"/>
        </w:rPr>
        <w:t>）有可能造成缠绕、吸人或卷人等危险的运动部件和传动装置应予以封闭或设置安全防护装置，除非它们所处位置是安全的。外部轴电机（除非安装位置人员不可碰触外）应有防护罩，保证运动安全与平稳。</w:t>
      </w:r>
    </w:p>
    <w:p w14:paraId="25A33318">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rPr>
        <w:t>）运动部件与运动部件之间或运动部件与静止部件之间，不应存在挤压危险和／或剪切危险，否则应按</w:t>
      </w:r>
      <w:r>
        <w:rPr>
          <w:color w:val="auto"/>
          <w:sz w:val="24"/>
          <w:highlight w:val="none"/>
        </w:rPr>
        <w:t>GB/T 12265</w:t>
      </w:r>
      <w:r>
        <w:rPr>
          <w:rFonts w:hint="eastAsia"/>
          <w:color w:val="auto"/>
          <w:sz w:val="24"/>
          <w:highlight w:val="none"/>
        </w:rPr>
        <w:t>的有关规定采取安全措施。</w:t>
      </w:r>
    </w:p>
    <w:p w14:paraId="02090741">
      <w:pPr>
        <w:spacing w:line="360" w:lineRule="auto"/>
        <w:ind w:firstLine="480" w:firstLineChars="200"/>
        <w:rPr>
          <w:color w:val="auto"/>
          <w:sz w:val="24"/>
          <w:highlight w:val="none"/>
        </w:rPr>
      </w:pPr>
      <w:r>
        <w:rPr>
          <w:color w:val="auto"/>
          <w:sz w:val="24"/>
          <w:highlight w:val="none"/>
        </w:rPr>
        <w:t>3</w:t>
      </w:r>
      <w:r>
        <w:rPr>
          <w:rFonts w:hint="eastAsia"/>
          <w:color w:val="auto"/>
          <w:sz w:val="24"/>
          <w:highlight w:val="none"/>
        </w:rPr>
        <w:t>）有惯性冲击的往复运动部件应设置可靠的限位装置，必要时可采取可靠的缓冲措施。若设置限位装置有困难时，应采取其他必要的安全措施。</w:t>
      </w:r>
    </w:p>
    <w:p w14:paraId="32F0D541">
      <w:pPr>
        <w:spacing w:line="360" w:lineRule="auto"/>
        <w:ind w:firstLine="480" w:firstLineChars="200"/>
        <w:rPr>
          <w:color w:val="auto"/>
          <w:sz w:val="24"/>
          <w:highlight w:val="none"/>
        </w:rPr>
      </w:pPr>
      <w:r>
        <w:rPr>
          <w:color w:val="auto"/>
          <w:sz w:val="24"/>
          <w:highlight w:val="none"/>
        </w:rPr>
        <w:t>4</w:t>
      </w:r>
      <w:r>
        <w:rPr>
          <w:rFonts w:hint="eastAsia"/>
          <w:color w:val="auto"/>
          <w:sz w:val="24"/>
          <w:highlight w:val="none"/>
        </w:rPr>
        <w:t>）在紧急停止或动力系统发生故障时，运动部件应就地立即停止或返回设计规定的位置，垂直或倾斜运动部件的下沉不应造成危险。系统掉电或紧急制动时，液压系统的安全回路会启动保护，持续提供给工件足够的夹紧力，防止工件滑落。</w:t>
      </w:r>
    </w:p>
    <w:p w14:paraId="2398F3B2">
      <w:pPr>
        <w:spacing w:line="360" w:lineRule="auto"/>
        <w:ind w:firstLine="480" w:firstLineChars="200"/>
        <w:rPr>
          <w:color w:val="auto"/>
          <w:sz w:val="24"/>
          <w:highlight w:val="none"/>
        </w:rPr>
      </w:pPr>
      <w:r>
        <w:rPr>
          <w:color w:val="auto"/>
          <w:sz w:val="24"/>
          <w:highlight w:val="none"/>
        </w:rPr>
        <w:t>5</w:t>
      </w:r>
      <w:r>
        <w:rPr>
          <w:rFonts w:hint="eastAsia"/>
          <w:color w:val="auto"/>
          <w:sz w:val="24"/>
          <w:highlight w:val="none"/>
        </w:rPr>
        <w:t>）运动部件同时运动存在安全风险时，其控制机构应联锁。不能实现联锁的，应在控制机构附近设置警告标志，并在操作手册中详细说明。在存在风险的位置均设有安全警示，控制系统也设有相应的联锁机制。</w:t>
      </w:r>
    </w:p>
    <w:p w14:paraId="197BE1BF">
      <w:pPr>
        <w:numPr>
          <w:ilvl w:val="2"/>
          <w:numId w:val="0"/>
        </w:numPr>
        <w:spacing w:line="360" w:lineRule="auto"/>
        <w:rPr>
          <w:color w:val="auto"/>
          <w:sz w:val="24"/>
          <w:highlight w:val="none"/>
        </w:rPr>
      </w:pPr>
      <w:r>
        <w:rPr>
          <w:rFonts w:hint="eastAsia"/>
          <w:color w:val="auto"/>
          <w:sz w:val="24"/>
          <w:highlight w:val="none"/>
        </w:rPr>
        <w:t>2</w:t>
      </w:r>
      <w:r>
        <w:rPr>
          <w:color w:val="auto"/>
          <w:sz w:val="24"/>
          <w:highlight w:val="none"/>
        </w:rPr>
        <w:t xml:space="preserve">.4.3 </w:t>
      </w:r>
      <w:r>
        <w:rPr>
          <w:rFonts w:hint="eastAsia"/>
          <w:color w:val="auto"/>
          <w:sz w:val="24"/>
          <w:highlight w:val="none"/>
        </w:rPr>
        <w:t>工作平台、通道安全要求</w:t>
      </w:r>
    </w:p>
    <w:p w14:paraId="35021D51">
      <w:pPr>
        <w:spacing w:line="360" w:lineRule="auto"/>
        <w:ind w:firstLine="480" w:firstLineChars="200"/>
        <w:rPr>
          <w:color w:val="auto"/>
          <w:sz w:val="24"/>
          <w:highlight w:val="none"/>
        </w:rPr>
      </w:pPr>
      <w:r>
        <w:rPr>
          <w:color w:val="auto"/>
          <w:sz w:val="24"/>
          <w:highlight w:val="none"/>
        </w:rPr>
        <w:t>1</w:t>
      </w:r>
      <w:r>
        <w:rPr>
          <w:rFonts w:hint="eastAsia"/>
          <w:color w:val="auto"/>
          <w:sz w:val="24"/>
          <w:highlight w:val="none"/>
        </w:rPr>
        <w:t>）若有不能在地面操作的设备，应设置钢梯和工作平台。平台和通道应设计防滑和防跌落方式，并尽量不应使操作者接近危险区。必要时可设置踏板和栏杆。钢梯、栏杆和平台应符合</w:t>
      </w:r>
      <w:r>
        <w:rPr>
          <w:color w:val="auto"/>
          <w:sz w:val="24"/>
          <w:highlight w:val="none"/>
        </w:rPr>
        <w:t>GB/T 17888.1-17888.4</w:t>
      </w:r>
      <w:r>
        <w:rPr>
          <w:rFonts w:hint="eastAsia"/>
          <w:color w:val="auto"/>
          <w:sz w:val="24"/>
          <w:highlight w:val="none"/>
        </w:rPr>
        <w:t>的有关规定。</w:t>
      </w:r>
    </w:p>
    <w:p w14:paraId="6C8D8F54">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rPr>
        <w:t>）设备如存在人员进出口，根据操作需要开口的尺寸应符合</w:t>
      </w:r>
      <w:r>
        <w:rPr>
          <w:color w:val="auto"/>
          <w:sz w:val="24"/>
          <w:highlight w:val="none"/>
        </w:rPr>
        <w:t>GB/T18717.1-18717.3</w:t>
      </w:r>
      <w:r>
        <w:rPr>
          <w:rFonts w:hint="eastAsia"/>
          <w:color w:val="auto"/>
          <w:sz w:val="24"/>
          <w:highlight w:val="none"/>
        </w:rPr>
        <w:t>的有关规定。人员进出口符合国家标准的要求进行设计，满足人员顺利进出。</w:t>
      </w:r>
    </w:p>
    <w:p w14:paraId="57CF0FAC">
      <w:pPr>
        <w:numPr>
          <w:ilvl w:val="2"/>
          <w:numId w:val="0"/>
        </w:numPr>
        <w:spacing w:line="360" w:lineRule="auto"/>
        <w:rPr>
          <w:color w:val="auto"/>
          <w:sz w:val="24"/>
          <w:highlight w:val="none"/>
        </w:rPr>
      </w:pPr>
      <w:r>
        <w:rPr>
          <w:rFonts w:hint="eastAsia"/>
          <w:color w:val="auto"/>
          <w:sz w:val="24"/>
          <w:highlight w:val="none"/>
        </w:rPr>
        <w:t>2</w:t>
      </w:r>
      <w:r>
        <w:rPr>
          <w:color w:val="auto"/>
          <w:sz w:val="24"/>
          <w:highlight w:val="none"/>
        </w:rPr>
        <w:t xml:space="preserve">.4.4 </w:t>
      </w:r>
      <w:r>
        <w:rPr>
          <w:rFonts w:hint="eastAsia"/>
          <w:color w:val="auto"/>
          <w:sz w:val="24"/>
          <w:highlight w:val="none"/>
        </w:rPr>
        <w:t>电气、控制系统安全要求</w:t>
      </w:r>
    </w:p>
    <w:p w14:paraId="686FAD19">
      <w:pPr>
        <w:spacing w:line="360" w:lineRule="auto"/>
        <w:ind w:firstLine="480" w:firstLineChars="200"/>
        <w:rPr>
          <w:color w:val="auto"/>
          <w:sz w:val="24"/>
          <w:highlight w:val="none"/>
        </w:rPr>
      </w:pPr>
      <w:r>
        <w:rPr>
          <w:color w:val="auto"/>
          <w:sz w:val="24"/>
          <w:highlight w:val="none"/>
        </w:rPr>
        <w:t>1</w:t>
      </w:r>
      <w:r>
        <w:rPr>
          <w:rFonts w:hint="eastAsia"/>
          <w:color w:val="auto"/>
          <w:sz w:val="24"/>
          <w:highlight w:val="none"/>
        </w:rPr>
        <w:t>）电气控制柜应具备</w:t>
      </w:r>
      <w:r>
        <w:rPr>
          <w:color w:val="auto"/>
          <w:sz w:val="24"/>
          <w:highlight w:val="none"/>
        </w:rPr>
        <w:t>IP54</w:t>
      </w:r>
      <w:r>
        <w:rPr>
          <w:rFonts w:hint="eastAsia"/>
          <w:color w:val="auto"/>
          <w:sz w:val="24"/>
          <w:highlight w:val="none"/>
        </w:rPr>
        <w:t>防护等级，防止粉尘、油污、铁屑进入造成短路或火灾；电线</w:t>
      </w:r>
      <w:r>
        <w:rPr>
          <w:color w:val="auto"/>
          <w:sz w:val="24"/>
          <w:highlight w:val="none"/>
        </w:rPr>
        <w:t>/</w:t>
      </w:r>
      <w:r>
        <w:rPr>
          <w:rFonts w:hint="eastAsia"/>
          <w:color w:val="auto"/>
          <w:sz w:val="24"/>
          <w:highlight w:val="none"/>
        </w:rPr>
        <w:t>气管穿过薄板时必须加装保护措施。</w:t>
      </w:r>
    </w:p>
    <w:p w14:paraId="02175DB3">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rPr>
        <w:t>）为防止意外危险，除有特殊规定外，设备电气部分应有防止事故发生的过载、过流、电机超速、漏电、直接接触触电等保护措施。</w:t>
      </w:r>
    </w:p>
    <w:p w14:paraId="269C4A31">
      <w:pPr>
        <w:spacing w:line="360" w:lineRule="auto"/>
        <w:ind w:firstLine="480" w:firstLineChars="200"/>
        <w:rPr>
          <w:color w:val="auto"/>
          <w:sz w:val="24"/>
          <w:highlight w:val="none"/>
        </w:rPr>
      </w:pPr>
      <w:r>
        <w:rPr>
          <w:color w:val="auto"/>
          <w:sz w:val="24"/>
          <w:highlight w:val="none"/>
        </w:rPr>
        <w:t>3</w:t>
      </w:r>
      <w:r>
        <w:rPr>
          <w:rFonts w:hint="eastAsia"/>
          <w:color w:val="auto"/>
          <w:sz w:val="24"/>
          <w:highlight w:val="none"/>
        </w:rPr>
        <w:t>）控制系统的有关安全部分的功能、类别和颜色等应符合国家相关标准规范规定。</w:t>
      </w:r>
    </w:p>
    <w:p w14:paraId="7870D26F">
      <w:pPr>
        <w:spacing w:line="360" w:lineRule="auto"/>
        <w:ind w:firstLine="480" w:firstLineChars="200"/>
        <w:rPr>
          <w:color w:val="auto"/>
          <w:sz w:val="24"/>
          <w:highlight w:val="none"/>
        </w:rPr>
      </w:pPr>
      <w:r>
        <w:rPr>
          <w:color w:val="auto"/>
          <w:sz w:val="24"/>
          <w:highlight w:val="none"/>
        </w:rPr>
        <w:t>4</w:t>
      </w:r>
      <w:r>
        <w:rPr>
          <w:rFonts w:hint="eastAsia"/>
          <w:color w:val="auto"/>
          <w:sz w:val="24"/>
          <w:highlight w:val="none"/>
        </w:rPr>
        <w:t>）操作人员就近位置必须设置急停按钮，操作控制装置的位置应确保操作时不会引起危险，应设有操作人员操作的工作间。</w:t>
      </w:r>
    </w:p>
    <w:p w14:paraId="38334C12">
      <w:pPr>
        <w:spacing w:line="360" w:lineRule="auto"/>
        <w:ind w:firstLine="480" w:firstLineChars="200"/>
        <w:rPr>
          <w:color w:val="auto"/>
          <w:sz w:val="24"/>
          <w:highlight w:val="none"/>
        </w:rPr>
      </w:pPr>
      <w:r>
        <w:rPr>
          <w:color w:val="auto"/>
          <w:sz w:val="24"/>
          <w:highlight w:val="none"/>
        </w:rPr>
        <w:t>5</w:t>
      </w:r>
      <w:r>
        <w:rPr>
          <w:rFonts w:hint="eastAsia"/>
          <w:color w:val="auto"/>
          <w:sz w:val="24"/>
          <w:highlight w:val="none"/>
        </w:rPr>
        <w:t>）防护围栏应设置安全门，安全门状态监控接入到控制系统，防止有人意外闯入焊接区域发生意外。</w:t>
      </w:r>
    </w:p>
    <w:p w14:paraId="2F0417FB">
      <w:pPr>
        <w:numPr>
          <w:ilvl w:val="2"/>
          <w:numId w:val="0"/>
        </w:numPr>
        <w:spacing w:line="360" w:lineRule="auto"/>
        <w:rPr>
          <w:color w:val="auto"/>
          <w:sz w:val="24"/>
          <w:highlight w:val="none"/>
        </w:rPr>
      </w:pPr>
      <w:r>
        <w:rPr>
          <w:rFonts w:hint="eastAsia"/>
          <w:color w:val="auto"/>
          <w:sz w:val="24"/>
          <w:highlight w:val="none"/>
        </w:rPr>
        <w:t>2</w:t>
      </w:r>
      <w:r>
        <w:rPr>
          <w:color w:val="auto"/>
          <w:sz w:val="24"/>
          <w:highlight w:val="none"/>
        </w:rPr>
        <w:t xml:space="preserve">.4.5 </w:t>
      </w:r>
      <w:r>
        <w:rPr>
          <w:rFonts w:hint="eastAsia"/>
          <w:color w:val="auto"/>
          <w:sz w:val="24"/>
          <w:highlight w:val="none"/>
        </w:rPr>
        <w:t>安全防护装置安全要求</w:t>
      </w:r>
    </w:p>
    <w:p w14:paraId="27F72D46">
      <w:pPr>
        <w:spacing w:line="360" w:lineRule="auto"/>
        <w:ind w:firstLine="480" w:firstLineChars="200"/>
        <w:rPr>
          <w:color w:val="auto"/>
          <w:sz w:val="24"/>
          <w:highlight w:val="none"/>
        </w:rPr>
      </w:pPr>
      <w:r>
        <w:rPr>
          <w:color w:val="auto"/>
          <w:sz w:val="24"/>
          <w:highlight w:val="none"/>
        </w:rPr>
        <w:t>1</w:t>
      </w:r>
      <w:r>
        <w:rPr>
          <w:rFonts w:hint="eastAsia"/>
          <w:color w:val="auto"/>
          <w:sz w:val="24"/>
          <w:highlight w:val="none"/>
        </w:rPr>
        <w:t>）安全防护装置应符合</w:t>
      </w:r>
      <w:r>
        <w:rPr>
          <w:color w:val="auto"/>
          <w:sz w:val="24"/>
          <w:highlight w:val="none"/>
        </w:rPr>
        <w:t>GB/T8196</w:t>
      </w:r>
      <w:r>
        <w:rPr>
          <w:rFonts w:hint="eastAsia"/>
          <w:color w:val="auto"/>
          <w:sz w:val="24"/>
          <w:highlight w:val="none"/>
        </w:rPr>
        <w:t>，</w:t>
      </w:r>
      <w:r>
        <w:rPr>
          <w:color w:val="auto"/>
          <w:sz w:val="24"/>
          <w:highlight w:val="none"/>
        </w:rPr>
        <w:t>GB/T18831</w:t>
      </w:r>
      <w:r>
        <w:rPr>
          <w:rFonts w:hint="eastAsia"/>
          <w:color w:val="auto"/>
          <w:sz w:val="24"/>
          <w:highlight w:val="none"/>
        </w:rPr>
        <w:t>的有关规定。</w:t>
      </w:r>
    </w:p>
    <w:p w14:paraId="67CB1F46">
      <w:pPr>
        <w:spacing w:line="360" w:lineRule="auto"/>
        <w:ind w:firstLine="480" w:firstLineChars="200"/>
        <w:rPr>
          <w:color w:val="auto"/>
          <w:sz w:val="24"/>
          <w:highlight w:val="none"/>
        </w:rPr>
      </w:pPr>
      <w:r>
        <w:rPr>
          <w:rFonts w:hint="eastAsia"/>
          <w:color w:val="auto"/>
          <w:sz w:val="24"/>
          <w:highlight w:val="none"/>
        </w:rPr>
        <w:t>联锁装置的联锁保护应符合</w:t>
      </w:r>
      <w:r>
        <w:rPr>
          <w:color w:val="auto"/>
          <w:sz w:val="24"/>
          <w:highlight w:val="none"/>
        </w:rPr>
        <w:t>GB/T 5226.1</w:t>
      </w:r>
      <w:r>
        <w:rPr>
          <w:rFonts w:hint="eastAsia"/>
          <w:color w:val="auto"/>
          <w:sz w:val="24"/>
          <w:highlight w:val="none"/>
        </w:rPr>
        <w:t>中的有关规定。</w:t>
      </w:r>
    </w:p>
    <w:p w14:paraId="310FC049">
      <w:pPr>
        <w:spacing w:line="360" w:lineRule="auto"/>
        <w:ind w:firstLine="480" w:firstLineChars="200"/>
        <w:rPr>
          <w:color w:val="auto"/>
          <w:sz w:val="24"/>
          <w:highlight w:val="none"/>
        </w:rPr>
      </w:pPr>
      <w:r>
        <w:rPr>
          <w:color w:val="auto"/>
          <w:sz w:val="24"/>
          <w:highlight w:val="none"/>
        </w:rPr>
        <w:t>3</w:t>
      </w:r>
      <w:r>
        <w:rPr>
          <w:rFonts w:hint="eastAsia"/>
          <w:color w:val="auto"/>
          <w:sz w:val="24"/>
          <w:highlight w:val="none"/>
        </w:rPr>
        <w:t>）必要时应在运动机构的危险部位或附近设置安全标志或涂安全色，以提醒操作、调整和维护人员注意危险的存在。使用安全色和安全标志应符合</w:t>
      </w:r>
      <w:r>
        <w:rPr>
          <w:color w:val="auto"/>
          <w:sz w:val="24"/>
          <w:highlight w:val="none"/>
        </w:rPr>
        <w:t>GB 2894</w:t>
      </w:r>
      <w:r>
        <w:rPr>
          <w:rFonts w:hint="eastAsia"/>
          <w:color w:val="auto"/>
          <w:sz w:val="24"/>
          <w:highlight w:val="none"/>
        </w:rPr>
        <w:t>，</w:t>
      </w:r>
      <w:r>
        <w:rPr>
          <w:color w:val="auto"/>
          <w:sz w:val="24"/>
          <w:highlight w:val="none"/>
        </w:rPr>
        <w:t>GB 18209.2</w:t>
      </w:r>
      <w:r>
        <w:rPr>
          <w:rFonts w:hint="eastAsia"/>
          <w:color w:val="auto"/>
          <w:sz w:val="24"/>
          <w:highlight w:val="none"/>
        </w:rPr>
        <w:t>的有关规定。</w:t>
      </w:r>
    </w:p>
    <w:p w14:paraId="726406A9">
      <w:pPr>
        <w:spacing w:line="360" w:lineRule="auto"/>
        <w:ind w:firstLine="480" w:firstLineChars="200"/>
        <w:rPr>
          <w:color w:val="auto"/>
          <w:sz w:val="24"/>
          <w:highlight w:val="none"/>
        </w:rPr>
      </w:pPr>
      <w:r>
        <w:rPr>
          <w:color w:val="auto"/>
          <w:sz w:val="24"/>
          <w:highlight w:val="none"/>
        </w:rPr>
        <w:t>4</w:t>
      </w:r>
      <w:r>
        <w:rPr>
          <w:rFonts w:hint="eastAsia"/>
          <w:color w:val="auto"/>
          <w:sz w:val="24"/>
          <w:highlight w:val="none"/>
        </w:rPr>
        <w:t>）本设备及使用的物料应符合国家、地方环保方面强制性标准、相关技术规范的有关规定。</w:t>
      </w:r>
    </w:p>
    <w:p w14:paraId="6F91A474">
      <w:pPr>
        <w:spacing w:line="360" w:lineRule="auto"/>
        <w:ind w:firstLine="480" w:firstLineChars="200"/>
        <w:rPr>
          <w:rFonts w:hint="eastAsia"/>
          <w:color w:val="auto"/>
          <w:sz w:val="24"/>
          <w:highlight w:val="none"/>
        </w:rPr>
      </w:pPr>
      <w:r>
        <w:rPr>
          <w:color w:val="auto"/>
          <w:sz w:val="24"/>
          <w:highlight w:val="none"/>
        </w:rPr>
        <w:t>5</w:t>
      </w:r>
      <w:r>
        <w:rPr>
          <w:rFonts w:hint="eastAsia"/>
          <w:color w:val="auto"/>
          <w:sz w:val="24"/>
          <w:highlight w:val="none"/>
        </w:rPr>
        <w:t>）本设备应符合国家节能法律法规及其它要求，能效指标符合国家强制性标准、相关技术规范的有关规定，配套的电机、水泵、风机等应采用</w:t>
      </w:r>
      <w:r>
        <w:rPr>
          <w:color w:val="auto"/>
          <w:sz w:val="24"/>
          <w:highlight w:val="none"/>
        </w:rPr>
        <w:t>2</w:t>
      </w:r>
      <w:r>
        <w:rPr>
          <w:rFonts w:hint="eastAsia"/>
          <w:color w:val="auto"/>
          <w:sz w:val="24"/>
          <w:highlight w:val="none"/>
        </w:rPr>
        <w:t>级及以上能效等级的产品，禁止采用国家颁布的淘汰设备产品目录中的产品。</w:t>
      </w:r>
    </w:p>
    <w:p w14:paraId="31F758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8857D3"/>
    <w:rsid w:val="158857D3"/>
    <w:rsid w:val="724849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beforeLines="0" w:after="330" w:afterLines="0" w:line="578"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iPriority w:val="0"/>
    <w:rPr>
      <w:rFonts w:eastAsia="黑体"/>
      <w:sz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2026-09-01T06:53:00Z</dcterms:created>
  <dc:creator>宋方方</dc:creator>
  <cp:lastModifiedBy>宋方方</cp:lastModifiedBy>
  <dcterms:modified xsi:type="dcterms:W3CDTF">2026-09-01T06:54:40Z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0D5941A5F4874BE3A52DF7438185B8B7_11</vt:lpwstr>
  </property>
  <property fmtid="{D5CDD505-2E9C-101B-9397-08002B2CF9AE}" pid="4" name="KSOTemplateDocerSaveRecord">
    <vt:lpwstr>eyJoZGlkIjoiY2ZjZDI4YmRkZDY3MGZmNjNjY2JiZTFlYmI4OWM0ZWEiLCJ1c2VySWQiOiIxNzYzODEyODI4In0=</vt:lpwstr>
  </property>
</Properties>
</file>