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F69ADD">
      <w:pPr>
        <w:pStyle w:val="2"/>
        <w:widowControl/>
        <w:snapToGrid w:val="0"/>
        <w:spacing w:before="0" w:after="0" w:line="360" w:lineRule="auto"/>
        <w:jc w:val="center"/>
        <w:rPr>
          <w:rFonts w:hint="eastAsia" w:ascii="宋体" w:hAnsi="宋体"/>
        </w:rPr>
      </w:pPr>
      <w:r>
        <w:rPr>
          <w:rFonts w:hint="eastAsia" w:ascii="宋体" w:hAnsi="宋体"/>
        </w:rPr>
        <w:t>采购需求及技术规格要求</w:t>
      </w:r>
    </w:p>
    <w:p w14:paraId="17D72B96">
      <w:pPr>
        <w:adjustRightInd w:val="0"/>
        <w:snapToGrid w:val="0"/>
        <w:spacing w:before="120" w:beforeLines="50" w:line="360" w:lineRule="auto"/>
        <w:rPr>
          <w:b/>
          <w:sz w:val="24"/>
        </w:rPr>
      </w:pPr>
      <w:r>
        <w:rPr>
          <w:b/>
          <w:sz w:val="24"/>
        </w:rPr>
        <w:t>1</w:t>
      </w:r>
      <w:r>
        <w:rPr>
          <w:rFonts w:hint="eastAsia"/>
          <w:b/>
          <w:sz w:val="24"/>
        </w:rPr>
        <w:t>、</w:t>
      </w:r>
      <w:r>
        <w:rPr>
          <w:b/>
          <w:sz w:val="24"/>
        </w:rPr>
        <w:t>货物需求一览表</w:t>
      </w:r>
    </w:p>
    <w:p w14:paraId="58380856">
      <w:pPr>
        <w:widowControl/>
        <w:spacing w:line="360" w:lineRule="auto"/>
        <w:ind w:firstLine="420" w:firstLineChars="200"/>
      </w:pPr>
      <w:r>
        <w:rPr>
          <w:rFonts w:hint="eastAsia"/>
        </w:rPr>
        <w:t>I</w:t>
      </w:r>
      <w:r>
        <w:t>TER电源二期极向场变流器模块及外旁通</w:t>
      </w:r>
      <w:r>
        <w:rPr>
          <w:rFonts w:hint="eastAsia"/>
        </w:rPr>
        <w:t>共2套，每套包含4台整流器、1台外旁通及相关辅件；本次采购共需要8台整流器、2台外旁通及相关辅件。</w:t>
      </w:r>
    </w:p>
    <w:p w14:paraId="61E53021">
      <w:pPr>
        <w:ind w:firstLine="174" w:firstLineChars="83"/>
        <w:jc w:val="center"/>
      </w:pPr>
      <w:r>
        <w:rPr>
          <w:rFonts w:hint="eastAsia"/>
        </w:rPr>
        <w:t>表格1. I</w:t>
      </w:r>
      <w:r>
        <w:t>TER电源二期极向场变流器模块及外旁通</w:t>
      </w:r>
      <w:r>
        <w:rPr>
          <w:rFonts w:hint="eastAsia"/>
        </w:rPr>
        <w:t>物项清单</w:t>
      </w:r>
    </w:p>
    <w:tbl>
      <w:tblPr>
        <w:tblStyle w:val="4"/>
        <w:tblW w:w="82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843"/>
        <w:gridCol w:w="2268"/>
        <w:gridCol w:w="850"/>
        <w:gridCol w:w="2552"/>
      </w:tblGrid>
      <w:tr w14:paraId="344D8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noWrap w:val="0"/>
            <w:vAlign w:val="top"/>
          </w:tcPr>
          <w:p w14:paraId="2F1ABF34">
            <w:pPr>
              <w:widowControl/>
              <w:spacing w:line="300" w:lineRule="auto"/>
              <w:jc w:val="center"/>
              <w:rPr>
                <w:rFonts w:ascii="宋体" w:hAnsi="宋体"/>
                <w:b/>
                <w:kern w:val="0"/>
                <w:sz w:val="22"/>
                <w:lang w:val="en-GB"/>
              </w:rPr>
            </w:pPr>
            <w:r>
              <w:rPr>
                <w:rFonts w:ascii="宋体" w:hAnsi="宋体"/>
                <w:b/>
                <w:kern w:val="0"/>
                <w:sz w:val="22"/>
                <w:lang w:val="en-GB"/>
              </w:rPr>
              <w:t>序号</w:t>
            </w:r>
          </w:p>
        </w:tc>
        <w:tc>
          <w:tcPr>
            <w:tcW w:w="1843" w:type="dxa"/>
            <w:noWrap w:val="0"/>
            <w:vAlign w:val="top"/>
          </w:tcPr>
          <w:p w14:paraId="0B29C3E0">
            <w:pPr>
              <w:widowControl/>
              <w:spacing w:line="300" w:lineRule="auto"/>
              <w:jc w:val="center"/>
              <w:rPr>
                <w:rFonts w:ascii="宋体" w:hAnsi="宋体"/>
                <w:b/>
                <w:kern w:val="0"/>
                <w:sz w:val="22"/>
                <w:lang w:val="en-GB"/>
              </w:rPr>
            </w:pPr>
            <w:r>
              <w:rPr>
                <w:rFonts w:ascii="宋体" w:hAnsi="宋体"/>
                <w:b/>
                <w:kern w:val="0"/>
                <w:sz w:val="22"/>
                <w:lang w:val="en-GB"/>
              </w:rPr>
              <w:t>名称</w:t>
            </w:r>
          </w:p>
        </w:tc>
        <w:tc>
          <w:tcPr>
            <w:tcW w:w="2268" w:type="dxa"/>
            <w:noWrap w:val="0"/>
            <w:vAlign w:val="top"/>
          </w:tcPr>
          <w:p w14:paraId="1EDB9DD4">
            <w:pPr>
              <w:widowControl/>
              <w:spacing w:line="300" w:lineRule="auto"/>
              <w:jc w:val="center"/>
              <w:rPr>
                <w:rFonts w:ascii="宋体" w:hAnsi="宋体"/>
                <w:b/>
                <w:kern w:val="0"/>
                <w:sz w:val="22"/>
                <w:lang w:val="en-GB"/>
              </w:rPr>
            </w:pPr>
            <w:r>
              <w:rPr>
                <w:rFonts w:ascii="宋体" w:hAnsi="宋体"/>
                <w:b/>
                <w:kern w:val="0"/>
                <w:sz w:val="22"/>
                <w:lang w:val="en-GB"/>
              </w:rPr>
              <w:t>型号</w:t>
            </w:r>
            <w:r>
              <w:rPr>
                <w:rFonts w:hint="eastAsia" w:ascii="宋体" w:hAnsi="宋体"/>
                <w:b/>
                <w:kern w:val="0"/>
                <w:sz w:val="22"/>
              </w:rPr>
              <w:t>/</w:t>
            </w:r>
            <w:r>
              <w:rPr>
                <w:rFonts w:ascii="宋体" w:hAnsi="宋体"/>
                <w:b/>
                <w:kern w:val="0"/>
                <w:sz w:val="22"/>
                <w:lang w:val="en-GB"/>
              </w:rPr>
              <w:t>规格</w:t>
            </w:r>
          </w:p>
        </w:tc>
        <w:tc>
          <w:tcPr>
            <w:tcW w:w="850" w:type="dxa"/>
            <w:noWrap w:val="0"/>
            <w:vAlign w:val="top"/>
          </w:tcPr>
          <w:p w14:paraId="24AF2044">
            <w:pPr>
              <w:widowControl/>
              <w:spacing w:line="300" w:lineRule="auto"/>
              <w:jc w:val="center"/>
              <w:rPr>
                <w:rFonts w:ascii="宋体" w:hAnsi="宋体"/>
                <w:b/>
                <w:kern w:val="0"/>
                <w:sz w:val="22"/>
                <w:lang w:val="en-GB"/>
              </w:rPr>
            </w:pPr>
            <w:r>
              <w:rPr>
                <w:rFonts w:ascii="宋体" w:hAnsi="宋体"/>
                <w:b/>
                <w:kern w:val="0"/>
                <w:sz w:val="22"/>
                <w:lang w:val="en-GB"/>
              </w:rPr>
              <w:t>数量</w:t>
            </w:r>
          </w:p>
        </w:tc>
        <w:tc>
          <w:tcPr>
            <w:tcW w:w="2552" w:type="dxa"/>
            <w:noWrap w:val="0"/>
            <w:vAlign w:val="top"/>
          </w:tcPr>
          <w:p w14:paraId="3EB9472D">
            <w:pPr>
              <w:widowControl/>
              <w:spacing w:line="300" w:lineRule="auto"/>
              <w:jc w:val="center"/>
              <w:rPr>
                <w:rFonts w:ascii="宋体" w:hAnsi="宋体"/>
                <w:b/>
                <w:kern w:val="0"/>
                <w:sz w:val="22"/>
                <w:lang w:val="en-GB"/>
              </w:rPr>
            </w:pPr>
            <w:r>
              <w:rPr>
                <w:rFonts w:ascii="宋体" w:hAnsi="宋体"/>
                <w:b/>
                <w:kern w:val="0"/>
                <w:sz w:val="22"/>
                <w:lang w:val="en-GB"/>
              </w:rPr>
              <w:t>备注</w:t>
            </w:r>
          </w:p>
        </w:tc>
      </w:tr>
      <w:tr w14:paraId="54E3D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noWrap w:val="0"/>
            <w:vAlign w:val="top"/>
          </w:tcPr>
          <w:p w14:paraId="3803655D">
            <w:pPr>
              <w:widowControl/>
              <w:spacing w:line="300" w:lineRule="auto"/>
              <w:ind w:firstLine="200"/>
              <w:jc w:val="left"/>
              <w:rPr>
                <w:rFonts w:ascii="宋体" w:hAnsi="宋体"/>
                <w:kern w:val="0"/>
                <w:sz w:val="20"/>
                <w:szCs w:val="20"/>
                <w:lang w:val="en-GB"/>
              </w:rPr>
            </w:pPr>
            <w:r>
              <w:rPr>
                <w:rFonts w:ascii="宋体" w:hAnsi="宋体"/>
                <w:kern w:val="0"/>
                <w:sz w:val="20"/>
                <w:szCs w:val="20"/>
                <w:lang w:val="en-GB"/>
              </w:rPr>
              <w:t>1</w:t>
            </w:r>
          </w:p>
        </w:tc>
        <w:tc>
          <w:tcPr>
            <w:tcW w:w="1843" w:type="dxa"/>
            <w:noWrap w:val="0"/>
            <w:vAlign w:val="center"/>
          </w:tcPr>
          <w:p w14:paraId="56CD6AF8">
            <w:pPr>
              <w:widowControl/>
              <w:spacing w:line="300" w:lineRule="auto"/>
              <w:jc w:val="center"/>
              <w:rPr>
                <w:rFonts w:ascii="宋体" w:hAnsi="宋体"/>
                <w:kern w:val="0"/>
                <w:sz w:val="20"/>
                <w:szCs w:val="20"/>
                <w:lang w:val="en-GB"/>
              </w:rPr>
            </w:pPr>
            <w:r>
              <w:rPr>
                <w:rFonts w:ascii="宋体" w:hAnsi="宋体"/>
                <w:kern w:val="0"/>
                <w:sz w:val="20"/>
                <w:szCs w:val="20"/>
                <w:lang w:val="en-GB"/>
              </w:rPr>
              <w:t>整流器</w:t>
            </w:r>
          </w:p>
        </w:tc>
        <w:tc>
          <w:tcPr>
            <w:tcW w:w="2268" w:type="dxa"/>
            <w:noWrap w:val="0"/>
            <w:vAlign w:val="center"/>
          </w:tcPr>
          <w:p w14:paraId="6E3E0796">
            <w:pPr>
              <w:widowControl/>
              <w:spacing w:line="300" w:lineRule="auto"/>
              <w:jc w:val="center"/>
              <w:rPr>
                <w:rFonts w:ascii="宋体" w:hAnsi="宋体"/>
                <w:kern w:val="0"/>
                <w:sz w:val="20"/>
                <w:szCs w:val="20"/>
                <w:lang w:val="en-GB"/>
              </w:rPr>
            </w:pPr>
            <w:r>
              <w:rPr>
                <w:rFonts w:ascii="宋体" w:hAnsi="宋体"/>
                <w:kern w:val="0"/>
                <w:sz w:val="20"/>
                <w:szCs w:val="20"/>
                <w:lang w:val="en-GB"/>
              </w:rPr>
              <w:t>3060*2100*3720mm</w:t>
            </w:r>
          </w:p>
        </w:tc>
        <w:tc>
          <w:tcPr>
            <w:tcW w:w="850" w:type="dxa"/>
            <w:noWrap w:val="0"/>
            <w:vAlign w:val="center"/>
          </w:tcPr>
          <w:p w14:paraId="0E24F4B4">
            <w:pPr>
              <w:widowControl/>
              <w:spacing w:line="300" w:lineRule="auto"/>
              <w:jc w:val="center"/>
              <w:rPr>
                <w:rFonts w:ascii="宋体" w:hAnsi="宋体"/>
                <w:kern w:val="0"/>
                <w:sz w:val="20"/>
                <w:szCs w:val="20"/>
                <w:lang w:val="en-GB"/>
              </w:rPr>
            </w:pPr>
            <w:r>
              <w:rPr>
                <w:rFonts w:ascii="宋体" w:hAnsi="宋体"/>
                <w:kern w:val="0"/>
                <w:sz w:val="20"/>
                <w:szCs w:val="20"/>
                <w:lang w:val="en-GB"/>
              </w:rPr>
              <w:t>8台</w:t>
            </w:r>
          </w:p>
        </w:tc>
        <w:tc>
          <w:tcPr>
            <w:tcW w:w="2552" w:type="dxa"/>
            <w:noWrap w:val="0"/>
            <w:vAlign w:val="center"/>
          </w:tcPr>
          <w:p w14:paraId="0C240455">
            <w:pPr>
              <w:widowControl/>
              <w:spacing w:line="300" w:lineRule="auto"/>
              <w:jc w:val="center"/>
              <w:rPr>
                <w:rFonts w:ascii="宋体" w:hAnsi="宋体"/>
                <w:kern w:val="0"/>
                <w:sz w:val="20"/>
                <w:szCs w:val="20"/>
                <w:lang w:val="en-GB"/>
              </w:rPr>
            </w:pPr>
            <w:r>
              <w:rPr>
                <w:rFonts w:ascii="宋体" w:hAnsi="宋体"/>
                <w:kern w:val="0"/>
                <w:sz w:val="20"/>
                <w:szCs w:val="20"/>
                <w:lang w:val="en-GB"/>
              </w:rPr>
              <w:t>具体见表格2</w:t>
            </w:r>
          </w:p>
        </w:tc>
      </w:tr>
      <w:tr w14:paraId="7D994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noWrap w:val="0"/>
            <w:vAlign w:val="top"/>
          </w:tcPr>
          <w:p w14:paraId="7DF73195">
            <w:pPr>
              <w:widowControl/>
              <w:spacing w:line="300" w:lineRule="auto"/>
              <w:ind w:firstLine="200"/>
              <w:jc w:val="left"/>
              <w:rPr>
                <w:rFonts w:ascii="宋体" w:hAnsi="宋体"/>
                <w:kern w:val="0"/>
                <w:sz w:val="20"/>
                <w:szCs w:val="20"/>
                <w:lang w:val="en-GB"/>
              </w:rPr>
            </w:pPr>
            <w:r>
              <w:rPr>
                <w:rFonts w:ascii="宋体" w:hAnsi="宋体"/>
                <w:kern w:val="0"/>
                <w:sz w:val="20"/>
                <w:szCs w:val="20"/>
                <w:lang w:val="en-GB"/>
              </w:rPr>
              <w:t>2</w:t>
            </w:r>
          </w:p>
        </w:tc>
        <w:tc>
          <w:tcPr>
            <w:tcW w:w="1843" w:type="dxa"/>
            <w:noWrap w:val="0"/>
            <w:vAlign w:val="center"/>
          </w:tcPr>
          <w:p w14:paraId="695A9BF2">
            <w:pPr>
              <w:widowControl/>
              <w:spacing w:line="300" w:lineRule="auto"/>
              <w:jc w:val="center"/>
              <w:rPr>
                <w:rFonts w:ascii="宋体" w:hAnsi="宋体"/>
                <w:kern w:val="0"/>
                <w:sz w:val="20"/>
                <w:szCs w:val="20"/>
                <w:lang w:val="en-GB"/>
              </w:rPr>
            </w:pPr>
            <w:r>
              <w:rPr>
                <w:rFonts w:ascii="宋体" w:hAnsi="宋体"/>
                <w:kern w:val="0"/>
                <w:sz w:val="20"/>
                <w:szCs w:val="20"/>
                <w:lang w:val="en-GB"/>
              </w:rPr>
              <w:t>外旁通</w:t>
            </w:r>
          </w:p>
        </w:tc>
        <w:tc>
          <w:tcPr>
            <w:tcW w:w="2268" w:type="dxa"/>
            <w:noWrap w:val="0"/>
            <w:vAlign w:val="center"/>
          </w:tcPr>
          <w:p w14:paraId="3B8E4A49">
            <w:pPr>
              <w:widowControl/>
              <w:spacing w:line="300" w:lineRule="auto"/>
              <w:jc w:val="center"/>
              <w:rPr>
                <w:rFonts w:ascii="宋体" w:hAnsi="宋体"/>
                <w:kern w:val="0"/>
                <w:sz w:val="20"/>
                <w:szCs w:val="20"/>
                <w:lang w:val="en-GB"/>
              </w:rPr>
            </w:pPr>
            <w:r>
              <w:rPr>
                <w:rFonts w:ascii="宋体" w:hAnsi="宋体"/>
                <w:kern w:val="0"/>
                <w:sz w:val="20"/>
                <w:szCs w:val="20"/>
                <w:lang w:val="en-GB"/>
              </w:rPr>
              <w:t>1640*1050*3720mm</w:t>
            </w:r>
          </w:p>
        </w:tc>
        <w:tc>
          <w:tcPr>
            <w:tcW w:w="850" w:type="dxa"/>
            <w:noWrap w:val="0"/>
            <w:vAlign w:val="center"/>
          </w:tcPr>
          <w:p w14:paraId="2F9779C8">
            <w:pPr>
              <w:widowControl/>
              <w:spacing w:line="300" w:lineRule="auto"/>
              <w:jc w:val="center"/>
              <w:rPr>
                <w:rFonts w:ascii="宋体" w:hAnsi="宋体"/>
                <w:kern w:val="0"/>
                <w:sz w:val="20"/>
                <w:szCs w:val="20"/>
                <w:lang w:val="en-GB"/>
              </w:rPr>
            </w:pPr>
            <w:r>
              <w:rPr>
                <w:rFonts w:ascii="宋体" w:hAnsi="宋体"/>
                <w:kern w:val="0"/>
                <w:sz w:val="20"/>
                <w:szCs w:val="20"/>
                <w:lang w:val="en-GB"/>
              </w:rPr>
              <w:t>2台</w:t>
            </w:r>
          </w:p>
        </w:tc>
        <w:tc>
          <w:tcPr>
            <w:tcW w:w="2552" w:type="dxa"/>
            <w:noWrap w:val="0"/>
            <w:vAlign w:val="center"/>
          </w:tcPr>
          <w:p w14:paraId="7457BF15">
            <w:pPr>
              <w:widowControl/>
              <w:spacing w:line="300" w:lineRule="auto"/>
              <w:jc w:val="center"/>
              <w:rPr>
                <w:rFonts w:ascii="宋体" w:hAnsi="宋体"/>
                <w:kern w:val="0"/>
                <w:sz w:val="20"/>
                <w:szCs w:val="20"/>
                <w:lang w:val="en-GB"/>
              </w:rPr>
            </w:pPr>
            <w:r>
              <w:rPr>
                <w:rFonts w:ascii="宋体" w:hAnsi="宋体"/>
                <w:kern w:val="0"/>
                <w:sz w:val="20"/>
                <w:szCs w:val="20"/>
                <w:lang w:val="en-GB"/>
              </w:rPr>
              <w:t>具体见表格3</w:t>
            </w:r>
          </w:p>
        </w:tc>
      </w:tr>
      <w:tr w14:paraId="43041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noWrap w:val="0"/>
            <w:vAlign w:val="top"/>
          </w:tcPr>
          <w:p w14:paraId="4819E656">
            <w:pPr>
              <w:widowControl/>
              <w:spacing w:line="300" w:lineRule="auto"/>
              <w:jc w:val="center"/>
              <w:rPr>
                <w:rFonts w:ascii="宋体" w:hAnsi="宋体"/>
                <w:kern w:val="0"/>
                <w:sz w:val="20"/>
                <w:szCs w:val="20"/>
                <w:lang w:val="en-GB"/>
              </w:rPr>
            </w:pPr>
            <w:r>
              <w:rPr>
                <w:rFonts w:ascii="宋体" w:hAnsi="宋体"/>
                <w:kern w:val="0"/>
                <w:sz w:val="20"/>
                <w:szCs w:val="20"/>
                <w:lang w:val="en-GB"/>
              </w:rPr>
              <w:t>3</w:t>
            </w:r>
          </w:p>
        </w:tc>
        <w:tc>
          <w:tcPr>
            <w:tcW w:w="1843" w:type="dxa"/>
            <w:noWrap w:val="0"/>
            <w:vAlign w:val="center"/>
          </w:tcPr>
          <w:p w14:paraId="5594B98A">
            <w:pPr>
              <w:widowControl/>
              <w:spacing w:line="300" w:lineRule="auto"/>
              <w:jc w:val="center"/>
              <w:rPr>
                <w:rFonts w:ascii="宋体" w:hAnsi="宋体"/>
                <w:kern w:val="0"/>
                <w:sz w:val="20"/>
                <w:szCs w:val="20"/>
                <w:lang w:val="en-GB"/>
              </w:rPr>
            </w:pPr>
            <w:r>
              <w:rPr>
                <w:rFonts w:ascii="宋体" w:hAnsi="宋体"/>
                <w:kern w:val="0"/>
                <w:sz w:val="20"/>
                <w:szCs w:val="20"/>
                <w:lang w:val="en-GB"/>
              </w:rPr>
              <w:t>过压保护装置</w:t>
            </w:r>
          </w:p>
        </w:tc>
        <w:tc>
          <w:tcPr>
            <w:tcW w:w="2268" w:type="dxa"/>
            <w:noWrap w:val="0"/>
            <w:vAlign w:val="center"/>
          </w:tcPr>
          <w:p w14:paraId="19384CCA">
            <w:pPr>
              <w:widowControl/>
              <w:spacing w:line="300" w:lineRule="auto"/>
              <w:jc w:val="center"/>
              <w:rPr>
                <w:rFonts w:ascii="宋体" w:hAnsi="宋体"/>
                <w:kern w:val="0"/>
                <w:sz w:val="20"/>
                <w:szCs w:val="20"/>
                <w:lang w:val="en-GB"/>
              </w:rPr>
            </w:pPr>
            <w:r>
              <w:rPr>
                <w:rFonts w:ascii="宋体" w:hAnsi="宋体"/>
                <w:kern w:val="0"/>
                <w:sz w:val="20"/>
                <w:szCs w:val="20"/>
                <w:lang w:val="en-GB"/>
              </w:rPr>
              <w:t>3020*550*520mm</w:t>
            </w:r>
          </w:p>
        </w:tc>
        <w:tc>
          <w:tcPr>
            <w:tcW w:w="850" w:type="dxa"/>
            <w:noWrap w:val="0"/>
            <w:vAlign w:val="center"/>
          </w:tcPr>
          <w:p w14:paraId="4D1DBA2A">
            <w:pPr>
              <w:widowControl/>
              <w:spacing w:line="300" w:lineRule="auto"/>
              <w:jc w:val="center"/>
              <w:rPr>
                <w:rFonts w:ascii="宋体" w:hAnsi="宋体"/>
                <w:kern w:val="0"/>
                <w:sz w:val="20"/>
                <w:szCs w:val="20"/>
                <w:lang w:val="en-GB"/>
              </w:rPr>
            </w:pPr>
            <w:r>
              <w:rPr>
                <w:rFonts w:ascii="宋体" w:hAnsi="宋体"/>
                <w:kern w:val="0"/>
                <w:sz w:val="20"/>
                <w:szCs w:val="20"/>
                <w:lang w:val="en-GB"/>
              </w:rPr>
              <w:t>2套</w:t>
            </w:r>
          </w:p>
        </w:tc>
        <w:tc>
          <w:tcPr>
            <w:tcW w:w="2552" w:type="dxa"/>
            <w:noWrap w:val="0"/>
            <w:vAlign w:val="center"/>
          </w:tcPr>
          <w:p w14:paraId="75AD8F92">
            <w:pPr>
              <w:widowControl/>
              <w:spacing w:line="300" w:lineRule="auto"/>
              <w:jc w:val="center"/>
              <w:rPr>
                <w:rFonts w:ascii="宋体" w:hAnsi="宋体"/>
                <w:kern w:val="0"/>
                <w:sz w:val="20"/>
                <w:szCs w:val="20"/>
                <w:lang w:val="en-GB"/>
              </w:rPr>
            </w:pPr>
            <w:r>
              <w:rPr>
                <w:rFonts w:ascii="宋体" w:hAnsi="宋体"/>
                <w:kern w:val="0"/>
                <w:sz w:val="20"/>
                <w:szCs w:val="20"/>
                <w:lang w:val="en-GB"/>
              </w:rPr>
              <w:t>每套2组过压保护装置</w:t>
            </w:r>
          </w:p>
        </w:tc>
      </w:tr>
      <w:tr w14:paraId="053F0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noWrap w:val="0"/>
            <w:vAlign w:val="top"/>
          </w:tcPr>
          <w:p w14:paraId="682951DA">
            <w:pPr>
              <w:widowControl/>
              <w:spacing w:line="300" w:lineRule="auto"/>
              <w:jc w:val="center"/>
              <w:rPr>
                <w:rFonts w:ascii="宋体" w:hAnsi="宋体"/>
                <w:kern w:val="0"/>
                <w:sz w:val="20"/>
                <w:szCs w:val="20"/>
                <w:lang w:val="en-GB"/>
              </w:rPr>
            </w:pPr>
            <w:r>
              <w:rPr>
                <w:rFonts w:ascii="宋体" w:hAnsi="宋体"/>
                <w:kern w:val="0"/>
                <w:sz w:val="20"/>
                <w:szCs w:val="20"/>
                <w:lang w:val="en-GB"/>
              </w:rPr>
              <w:t>4</w:t>
            </w:r>
          </w:p>
        </w:tc>
        <w:tc>
          <w:tcPr>
            <w:tcW w:w="1843" w:type="dxa"/>
            <w:noWrap w:val="0"/>
            <w:vAlign w:val="center"/>
          </w:tcPr>
          <w:p w14:paraId="77280C89">
            <w:pPr>
              <w:widowControl/>
              <w:spacing w:line="300" w:lineRule="auto"/>
              <w:jc w:val="center"/>
              <w:rPr>
                <w:rFonts w:ascii="宋体" w:hAnsi="宋体"/>
                <w:kern w:val="0"/>
                <w:sz w:val="20"/>
                <w:szCs w:val="20"/>
                <w:lang w:val="en-GB"/>
              </w:rPr>
            </w:pPr>
            <w:r>
              <w:rPr>
                <w:rFonts w:ascii="宋体" w:hAnsi="宋体"/>
                <w:kern w:val="0"/>
                <w:sz w:val="20"/>
                <w:szCs w:val="20"/>
                <w:lang w:val="en-GB"/>
              </w:rPr>
              <w:t>包装及运输</w:t>
            </w:r>
          </w:p>
        </w:tc>
        <w:tc>
          <w:tcPr>
            <w:tcW w:w="2268" w:type="dxa"/>
            <w:noWrap w:val="0"/>
            <w:vAlign w:val="center"/>
          </w:tcPr>
          <w:p w14:paraId="001AAC63">
            <w:pPr>
              <w:widowControl/>
              <w:spacing w:line="300" w:lineRule="auto"/>
              <w:jc w:val="center"/>
              <w:rPr>
                <w:rFonts w:ascii="宋体" w:hAnsi="宋体"/>
                <w:kern w:val="0"/>
                <w:sz w:val="20"/>
                <w:szCs w:val="20"/>
                <w:lang w:val="en-GB"/>
              </w:rPr>
            </w:pPr>
            <w:r>
              <w:rPr>
                <w:rFonts w:ascii="宋体" w:hAnsi="宋体"/>
                <w:kern w:val="0"/>
                <w:sz w:val="20"/>
                <w:szCs w:val="20"/>
                <w:lang w:val="en-GB"/>
              </w:rPr>
              <w:t>/</w:t>
            </w:r>
          </w:p>
        </w:tc>
        <w:tc>
          <w:tcPr>
            <w:tcW w:w="850" w:type="dxa"/>
            <w:noWrap w:val="0"/>
            <w:vAlign w:val="center"/>
          </w:tcPr>
          <w:p w14:paraId="6DE8F61E">
            <w:pPr>
              <w:widowControl/>
              <w:spacing w:line="300" w:lineRule="auto"/>
              <w:jc w:val="center"/>
              <w:rPr>
                <w:rFonts w:ascii="宋体" w:hAnsi="宋体"/>
                <w:kern w:val="0"/>
                <w:sz w:val="20"/>
                <w:szCs w:val="20"/>
                <w:lang w:val="en-GB"/>
              </w:rPr>
            </w:pPr>
            <w:r>
              <w:rPr>
                <w:rFonts w:ascii="宋体" w:hAnsi="宋体"/>
                <w:kern w:val="0"/>
                <w:sz w:val="20"/>
                <w:szCs w:val="20"/>
                <w:lang w:val="en-GB"/>
              </w:rPr>
              <w:t>2套</w:t>
            </w:r>
          </w:p>
        </w:tc>
        <w:tc>
          <w:tcPr>
            <w:tcW w:w="2552" w:type="dxa"/>
            <w:noWrap w:val="0"/>
            <w:vAlign w:val="center"/>
          </w:tcPr>
          <w:p w14:paraId="34AD6EDE">
            <w:pPr>
              <w:widowControl/>
              <w:spacing w:line="300" w:lineRule="auto"/>
              <w:jc w:val="center"/>
              <w:rPr>
                <w:rFonts w:ascii="宋体" w:hAnsi="宋体"/>
                <w:kern w:val="0"/>
                <w:sz w:val="20"/>
                <w:szCs w:val="20"/>
                <w:lang w:val="en-GB"/>
              </w:rPr>
            </w:pPr>
            <w:r>
              <w:rPr>
                <w:rFonts w:ascii="宋体" w:hAnsi="宋体"/>
                <w:kern w:val="0"/>
                <w:sz w:val="20"/>
                <w:szCs w:val="20"/>
                <w:lang w:val="en-GB"/>
              </w:rPr>
              <w:t>真空包装、需要满足国际海运要求，并负责国内运输到指定港口</w:t>
            </w:r>
          </w:p>
        </w:tc>
      </w:tr>
      <w:tr w14:paraId="6F7D8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noWrap w:val="0"/>
            <w:vAlign w:val="top"/>
          </w:tcPr>
          <w:p w14:paraId="3782F0D7">
            <w:pPr>
              <w:widowControl/>
              <w:spacing w:line="300" w:lineRule="auto"/>
              <w:jc w:val="center"/>
              <w:rPr>
                <w:rFonts w:ascii="宋体" w:hAnsi="宋体"/>
                <w:kern w:val="0"/>
                <w:sz w:val="20"/>
                <w:szCs w:val="20"/>
                <w:lang w:val="en-GB"/>
              </w:rPr>
            </w:pPr>
            <w:r>
              <w:rPr>
                <w:rFonts w:ascii="宋体" w:hAnsi="宋体"/>
                <w:kern w:val="0"/>
                <w:sz w:val="20"/>
                <w:szCs w:val="20"/>
                <w:lang w:val="en-GB"/>
              </w:rPr>
              <w:t>5</w:t>
            </w:r>
          </w:p>
        </w:tc>
        <w:tc>
          <w:tcPr>
            <w:tcW w:w="1843" w:type="dxa"/>
            <w:noWrap w:val="0"/>
            <w:vAlign w:val="center"/>
          </w:tcPr>
          <w:p w14:paraId="5382428E">
            <w:pPr>
              <w:widowControl/>
              <w:spacing w:line="300" w:lineRule="auto"/>
              <w:jc w:val="center"/>
              <w:rPr>
                <w:rFonts w:ascii="宋体" w:hAnsi="宋体"/>
                <w:kern w:val="0"/>
                <w:sz w:val="20"/>
                <w:szCs w:val="20"/>
                <w:lang w:val="en-GB"/>
              </w:rPr>
            </w:pPr>
            <w:r>
              <w:rPr>
                <w:rFonts w:ascii="宋体" w:hAnsi="宋体"/>
                <w:kern w:val="0"/>
                <w:sz w:val="20"/>
                <w:szCs w:val="20"/>
                <w:lang w:val="en-GB"/>
              </w:rPr>
              <w:t>备品备件</w:t>
            </w:r>
          </w:p>
        </w:tc>
        <w:tc>
          <w:tcPr>
            <w:tcW w:w="2268" w:type="dxa"/>
            <w:noWrap w:val="0"/>
            <w:vAlign w:val="center"/>
          </w:tcPr>
          <w:p w14:paraId="3E6A2741">
            <w:pPr>
              <w:widowControl/>
              <w:spacing w:line="300" w:lineRule="auto"/>
              <w:jc w:val="center"/>
              <w:rPr>
                <w:rFonts w:ascii="宋体" w:hAnsi="宋体"/>
                <w:kern w:val="0"/>
                <w:sz w:val="20"/>
                <w:szCs w:val="20"/>
                <w:lang w:val="en-GB"/>
              </w:rPr>
            </w:pPr>
            <w:r>
              <w:rPr>
                <w:rFonts w:ascii="宋体" w:hAnsi="宋体"/>
                <w:kern w:val="0"/>
                <w:sz w:val="20"/>
                <w:szCs w:val="20"/>
                <w:lang w:val="en-GB"/>
              </w:rPr>
              <w:t>/</w:t>
            </w:r>
          </w:p>
        </w:tc>
        <w:tc>
          <w:tcPr>
            <w:tcW w:w="850" w:type="dxa"/>
            <w:noWrap w:val="0"/>
            <w:vAlign w:val="center"/>
          </w:tcPr>
          <w:p w14:paraId="16F9434F">
            <w:pPr>
              <w:widowControl/>
              <w:spacing w:line="300" w:lineRule="auto"/>
              <w:jc w:val="center"/>
              <w:rPr>
                <w:rFonts w:ascii="宋体" w:hAnsi="宋体"/>
                <w:kern w:val="0"/>
                <w:sz w:val="20"/>
                <w:szCs w:val="20"/>
                <w:lang w:val="en-GB"/>
              </w:rPr>
            </w:pPr>
            <w:r>
              <w:rPr>
                <w:rFonts w:ascii="宋体" w:hAnsi="宋体"/>
                <w:kern w:val="0"/>
                <w:sz w:val="20"/>
                <w:szCs w:val="20"/>
                <w:lang w:val="en-GB"/>
              </w:rPr>
              <w:t>1批</w:t>
            </w:r>
          </w:p>
        </w:tc>
        <w:tc>
          <w:tcPr>
            <w:tcW w:w="2552" w:type="dxa"/>
            <w:noWrap w:val="0"/>
            <w:vAlign w:val="center"/>
          </w:tcPr>
          <w:p w14:paraId="1D7B2CCF">
            <w:pPr>
              <w:widowControl/>
              <w:spacing w:line="300" w:lineRule="auto"/>
              <w:jc w:val="center"/>
              <w:rPr>
                <w:rFonts w:ascii="宋体" w:hAnsi="宋体"/>
                <w:kern w:val="0"/>
                <w:sz w:val="20"/>
                <w:szCs w:val="20"/>
                <w:lang w:val="en-GB"/>
              </w:rPr>
            </w:pPr>
            <w:r>
              <w:rPr>
                <w:rFonts w:ascii="宋体" w:hAnsi="宋体"/>
                <w:kern w:val="0"/>
                <w:sz w:val="20"/>
                <w:szCs w:val="20"/>
                <w:lang w:val="en-GB"/>
              </w:rPr>
              <w:t>具体见表格3</w:t>
            </w:r>
          </w:p>
        </w:tc>
      </w:tr>
      <w:tr w14:paraId="0641D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noWrap w:val="0"/>
            <w:vAlign w:val="top"/>
          </w:tcPr>
          <w:p w14:paraId="3922488C">
            <w:pPr>
              <w:widowControl/>
              <w:spacing w:line="300" w:lineRule="auto"/>
              <w:jc w:val="center"/>
              <w:rPr>
                <w:rFonts w:ascii="宋体" w:hAnsi="宋体"/>
                <w:kern w:val="0"/>
                <w:sz w:val="20"/>
                <w:szCs w:val="20"/>
                <w:lang w:val="en-GB"/>
              </w:rPr>
            </w:pPr>
            <w:r>
              <w:rPr>
                <w:rFonts w:ascii="宋体" w:hAnsi="宋体"/>
                <w:kern w:val="0"/>
                <w:sz w:val="20"/>
                <w:szCs w:val="20"/>
                <w:lang w:val="en-GB"/>
              </w:rPr>
              <w:t>6</w:t>
            </w:r>
          </w:p>
        </w:tc>
        <w:tc>
          <w:tcPr>
            <w:tcW w:w="1843" w:type="dxa"/>
            <w:noWrap w:val="0"/>
            <w:vAlign w:val="center"/>
          </w:tcPr>
          <w:p w14:paraId="7B77DAD7">
            <w:pPr>
              <w:widowControl/>
              <w:spacing w:line="300" w:lineRule="auto"/>
              <w:jc w:val="center"/>
              <w:rPr>
                <w:rFonts w:ascii="宋体" w:hAnsi="宋体"/>
                <w:kern w:val="0"/>
                <w:sz w:val="20"/>
                <w:szCs w:val="20"/>
                <w:lang w:val="en-GB"/>
              </w:rPr>
            </w:pPr>
            <w:r>
              <w:rPr>
                <w:rFonts w:ascii="宋体" w:hAnsi="宋体"/>
                <w:kern w:val="0"/>
                <w:sz w:val="20"/>
                <w:szCs w:val="20"/>
                <w:lang w:val="en-GB"/>
              </w:rPr>
              <w:t>软连接</w:t>
            </w:r>
          </w:p>
        </w:tc>
        <w:tc>
          <w:tcPr>
            <w:tcW w:w="2268" w:type="dxa"/>
            <w:noWrap w:val="0"/>
            <w:vAlign w:val="center"/>
          </w:tcPr>
          <w:p w14:paraId="63E6DD90">
            <w:pPr>
              <w:widowControl/>
              <w:spacing w:line="300" w:lineRule="auto"/>
              <w:jc w:val="center"/>
              <w:rPr>
                <w:rFonts w:hint="eastAsia" w:ascii="宋体" w:hAnsi="宋体"/>
                <w:kern w:val="0"/>
                <w:sz w:val="20"/>
                <w:szCs w:val="20"/>
                <w:lang w:val="en-GB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  <w:lang w:val="en-GB"/>
              </w:rPr>
              <w:t>800*60*20mm</w:t>
            </w:r>
          </w:p>
        </w:tc>
        <w:tc>
          <w:tcPr>
            <w:tcW w:w="850" w:type="dxa"/>
            <w:noWrap w:val="0"/>
            <w:vAlign w:val="center"/>
          </w:tcPr>
          <w:p w14:paraId="6155530F">
            <w:pPr>
              <w:widowControl/>
              <w:spacing w:line="300" w:lineRule="auto"/>
              <w:jc w:val="center"/>
              <w:rPr>
                <w:rFonts w:hint="eastAsia" w:ascii="宋体" w:hAnsi="宋体"/>
                <w:kern w:val="0"/>
                <w:sz w:val="20"/>
                <w:szCs w:val="20"/>
                <w:lang w:val="en-GB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  <w:lang w:val="en-GB"/>
              </w:rPr>
              <w:t>180根</w:t>
            </w:r>
          </w:p>
        </w:tc>
        <w:tc>
          <w:tcPr>
            <w:tcW w:w="2552" w:type="dxa"/>
            <w:noWrap w:val="0"/>
            <w:vAlign w:val="center"/>
          </w:tcPr>
          <w:p w14:paraId="4DF9558E">
            <w:pPr>
              <w:widowControl/>
              <w:spacing w:line="300" w:lineRule="auto"/>
              <w:jc w:val="center"/>
              <w:rPr>
                <w:rFonts w:ascii="宋体" w:hAnsi="宋体"/>
                <w:kern w:val="0"/>
                <w:sz w:val="20"/>
                <w:szCs w:val="20"/>
                <w:lang w:val="en-GB"/>
              </w:rPr>
            </w:pPr>
            <w:r>
              <w:rPr>
                <w:rFonts w:ascii="宋体" w:hAnsi="宋体"/>
                <w:kern w:val="0"/>
                <w:sz w:val="20"/>
                <w:szCs w:val="20"/>
                <w:lang w:val="en-GB"/>
              </w:rPr>
              <w:t>整流器之间的连接</w:t>
            </w:r>
          </w:p>
        </w:tc>
      </w:tr>
      <w:tr w14:paraId="5C843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noWrap w:val="0"/>
            <w:vAlign w:val="top"/>
          </w:tcPr>
          <w:p w14:paraId="524379B7">
            <w:pPr>
              <w:widowControl/>
              <w:spacing w:line="300" w:lineRule="auto"/>
              <w:jc w:val="center"/>
              <w:rPr>
                <w:rFonts w:ascii="宋体" w:hAnsi="宋体"/>
                <w:kern w:val="0"/>
                <w:sz w:val="20"/>
                <w:szCs w:val="20"/>
                <w:lang w:val="en-GB"/>
              </w:rPr>
            </w:pPr>
            <w:r>
              <w:rPr>
                <w:rFonts w:ascii="宋体" w:hAnsi="宋体"/>
                <w:kern w:val="0"/>
                <w:sz w:val="20"/>
                <w:szCs w:val="20"/>
                <w:lang w:val="en-GB"/>
              </w:rPr>
              <w:t>7</w:t>
            </w:r>
          </w:p>
        </w:tc>
        <w:tc>
          <w:tcPr>
            <w:tcW w:w="1843" w:type="dxa"/>
            <w:noWrap w:val="0"/>
            <w:vAlign w:val="center"/>
          </w:tcPr>
          <w:p w14:paraId="32ECBDB1">
            <w:pPr>
              <w:widowControl/>
              <w:spacing w:line="300" w:lineRule="auto"/>
              <w:jc w:val="center"/>
              <w:rPr>
                <w:rFonts w:ascii="宋体" w:hAnsi="宋体"/>
                <w:kern w:val="0"/>
                <w:sz w:val="20"/>
                <w:szCs w:val="20"/>
                <w:lang w:val="en-GB"/>
              </w:rPr>
            </w:pPr>
            <w:r>
              <w:rPr>
                <w:rFonts w:ascii="宋体" w:hAnsi="宋体"/>
                <w:kern w:val="0"/>
                <w:sz w:val="20"/>
                <w:szCs w:val="20"/>
                <w:lang w:val="en-GB"/>
              </w:rPr>
              <w:t>专用工具</w:t>
            </w:r>
          </w:p>
        </w:tc>
        <w:tc>
          <w:tcPr>
            <w:tcW w:w="2268" w:type="dxa"/>
            <w:noWrap w:val="0"/>
            <w:vAlign w:val="center"/>
          </w:tcPr>
          <w:p w14:paraId="2D17ADA5">
            <w:pPr>
              <w:widowControl/>
              <w:spacing w:line="300" w:lineRule="auto"/>
              <w:jc w:val="center"/>
              <w:rPr>
                <w:rFonts w:ascii="宋体" w:hAnsi="宋体"/>
                <w:kern w:val="0"/>
                <w:sz w:val="20"/>
                <w:szCs w:val="20"/>
                <w:lang w:val="en-GB"/>
              </w:rPr>
            </w:pPr>
            <w:r>
              <w:rPr>
                <w:rFonts w:ascii="宋体" w:hAnsi="宋体"/>
                <w:kern w:val="0"/>
                <w:sz w:val="20"/>
                <w:szCs w:val="20"/>
                <w:lang w:val="en-GB"/>
              </w:rPr>
              <w:t>/</w:t>
            </w:r>
          </w:p>
        </w:tc>
        <w:tc>
          <w:tcPr>
            <w:tcW w:w="850" w:type="dxa"/>
            <w:noWrap w:val="0"/>
            <w:vAlign w:val="center"/>
          </w:tcPr>
          <w:p w14:paraId="6AC11542">
            <w:pPr>
              <w:widowControl/>
              <w:spacing w:line="300" w:lineRule="auto"/>
              <w:jc w:val="center"/>
              <w:rPr>
                <w:rFonts w:ascii="宋体" w:hAnsi="宋体"/>
                <w:kern w:val="0"/>
                <w:sz w:val="20"/>
                <w:szCs w:val="20"/>
                <w:lang w:val="en-GB"/>
              </w:rPr>
            </w:pPr>
            <w:r>
              <w:rPr>
                <w:rFonts w:ascii="宋体" w:hAnsi="宋体"/>
                <w:kern w:val="0"/>
                <w:sz w:val="20"/>
                <w:szCs w:val="20"/>
                <w:lang w:val="en-GB"/>
              </w:rPr>
              <w:t>1批</w:t>
            </w:r>
          </w:p>
        </w:tc>
        <w:tc>
          <w:tcPr>
            <w:tcW w:w="2552" w:type="dxa"/>
            <w:noWrap w:val="0"/>
            <w:vAlign w:val="center"/>
          </w:tcPr>
          <w:p w14:paraId="783FB428">
            <w:pPr>
              <w:widowControl/>
              <w:spacing w:line="300" w:lineRule="auto"/>
              <w:jc w:val="center"/>
              <w:rPr>
                <w:rFonts w:ascii="宋体" w:hAnsi="宋体"/>
                <w:kern w:val="0"/>
                <w:sz w:val="20"/>
                <w:szCs w:val="20"/>
                <w:lang w:val="en-GB"/>
              </w:rPr>
            </w:pPr>
            <w:r>
              <w:rPr>
                <w:rFonts w:ascii="宋体" w:hAnsi="宋体"/>
                <w:kern w:val="0"/>
                <w:sz w:val="20"/>
                <w:szCs w:val="20"/>
                <w:lang w:val="en-GB"/>
              </w:rPr>
              <w:t>不同规格扭矩扳手等</w:t>
            </w:r>
          </w:p>
        </w:tc>
      </w:tr>
      <w:tr w14:paraId="25DA3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noWrap w:val="0"/>
            <w:vAlign w:val="top"/>
          </w:tcPr>
          <w:p w14:paraId="50EF7ED1">
            <w:pPr>
              <w:widowControl/>
              <w:spacing w:line="300" w:lineRule="auto"/>
              <w:jc w:val="center"/>
              <w:rPr>
                <w:rFonts w:ascii="宋体" w:hAnsi="宋体"/>
                <w:kern w:val="0"/>
                <w:sz w:val="20"/>
                <w:szCs w:val="20"/>
                <w:lang w:val="en-GB"/>
              </w:rPr>
            </w:pPr>
            <w:r>
              <w:rPr>
                <w:rFonts w:ascii="宋体" w:hAnsi="宋体"/>
                <w:kern w:val="0"/>
                <w:sz w:val="20"/>
                <w:szCs w:val="20"/>
                <w:lang w:val="en-GB"/>
              </w:rPr>
              <w:t>8</w:t>
            </w:r>
          </w:p>
        </w:tc>
        <w:tc>
          <w:tcPr>
            <w:tcW w:w="1843" w:type="dxa"/>
            <w:noWrap w:val="0"/>
            <w:vAlign w:val="center"/>
          </w:tcPr>
          <w:p w14:paraId="40ADEC87">
            <w:pPr>
              <w:widowControl/>
              <w:spacing w:line="300" w:lineRule="auto"/>
              <w:jc w:val="center"/>
              <w:rPr>
                <w:rFonts w:ascii="宋体" w:hAnsi="宋体"/>
                <w:kern w:val="0"/>
                <w:sz w:val="20"/>
                <w:szCs w:val="20"/>
                <w:lang w:val="en-GB"/>
              </w:rPr>
            </w:pPr>
            <w:r>
              <w:rPr>
                <w:rFonts w:ascii="宋体" w:hAnsi="宋体"/>
                <w:kern w:val="0"/>
                <w:sz w:val="20"/>
                <w:szCs w:val="20"/>
                <w:lang w:val="en-GB"/>
              </w:rPr>
              <w:t>集成测试现场服务</w:t>
            </w:r>
          </w:p>
        </w:tc>
        <w:tc>
          <w:tcPr>
            <w:tcW w:w="2268" w:type="dxa"/>
            <w:noWrap w:val="0"/>
            <w:vAlign w:val="center"/>
          </w:tcPr>
          <w:p w14:paraId="5A1DF600">
            <w:pPr>
              <w:widowControl/>
              <w:spacing w:line="300" w:lineRule="auto"/>
              <w:jc w:val="center"/>
              <w:rPr>
                <w:rFonts w:ascii="宋体" w:hAnsi="宋体"/>
                <w:kern w:val="0"/>
                <w:sz w:val="20"/>
                <w:szCs w:val="20"/>
                <w:lang w:val="en-GB"/>
              </w:rPr>
            </w:pPr>
            <w:r>
              <w:rPr>
                <w:rFonts w:ascii="宋体" w:hAnsi="宋体"/>
                <w:kern w:val="0"/>
                <w:sz w:val="20"/>
                <w:szCs w:val="20"/>
                <w:lang w:val="en-GB"/>
              </w:rPr>
              <w:t>/</w:t>
            </w:r>
          </w:p>
        </w:tc>
        <w:tc>
          <w:tcPr>
            <w:tcW w:w="850" w:type="dxa"/>
            <w:noWrap w:val="0"/>
            <w:vAlign w:val="center"/>
          </w:tcPr>
          <w:p w14:paraId="587DA733">
            <w:pPr>
              <w:widowControl/>
              <w:spacing w:line="300" w:lineRule="auto"/>
              <w:jc w:val="center"/>
              <w:rPr>
                <w:rFonts w:ascii="宋体" w:hAnsi="宋体"/>
                <w:kern w:val="0"/>
                <w:sz w:val="20"/>
                <w:szCs w:val="20"/>
                <w:lang w:val="en-GB"/>
              </w:rPr>
            </w:pPr>
            <w:r>
              <w:rPr>
                <w:rFonts w:ascii="宋体" w:hAnsi="宋体"/>
                <w:kern w:val="0"/>
                <w:sz w:val="20"/>
                <w:szCs w:val="20"/>
                <w:lang w:val="en-GB"/>
              </w:rPr>
              <w:t>1项</w:t>
            </w:r>
          </w:p>
        </w:tc>
        <w:tc>
          <w:tcPr>
            <w:tcW w:w="2552" w:type="dxa"/>
            <w:noWrap w:val="0"/>
            <w:vAlign w:val="center"/>
          </w:tcPr>
          <w:p w14:paraId="0290B800">
            <w:pPr>
              <w:widowControl/>
              <w:spacing w:line="300" w:lineRule="auto"/>
              <w:jc w:val="center"/>
              <w:rPr>
                <w:rFonts w:ascii="宋体" w:hAnsi="宋体"/>
                <w:kern w:val="0"/>
                <w:sz w:val="20"/>
                <w:szCs w:val="20"/>
                <w:lang w:val="en-GB"/>
              </w:rPr>
            </w:pPr>
            <w:r>
              <w:rPr>
                <w:rFonts w:ascii="宋体" w:hAnsi="宋体"/>
                <w:kern w:val="0"/>
                <w:sz w:val="20"/>
                <w:szCs w:val="20"/>
                <w:lang w:val="en-GB"/>
              </w:rPr>
              <w:t>国内测试提供现场服务；</w:t>
            </w:r>
          </w:p>
          <w:p w14:paraId="56E368D3">
            <w:pPr>
              <w:widowControl/>
              <w:spacing w:line="300" w:lineRule="auto"/>
              <w:jc w:val="center"/>
              <w:rPr>
                <w:rFonts w:ascii="宋体" w:hAnsi="宋体"/>
                <w:kern w:val="0"/>
                <w:sz w:val="20"/>
                <w:szCs w:val="20"/>
                <w:lang w:val="en-GB"/>
              </w:rPr>
            </w:pPr>
            <w:r>
              <w:rPr>
                <w:rFonts w:ascii="宋体" w:hAnsi="宋体"/>
                <w:kern w:val="0"/>
                <w:sz w:val="20"/>
                <w:szCs w:val="20"/>
                <w:lang w:val="en-GB"/>
              </w:rPr>
              <w:t>国外</w:t>
            </w:r>
            <w:r>
              <w:rPr>
                <w:rFonts w:hint="eastAsia" w:ascii="宋体" w:hAnsi="宋体"/>
                <w:kern w:val="0"/>
                <w:sz w:val="20"/>
                <w:szCs w:val="20"/>
                <w:lang w:val="en-GB"/>
              </w:rPr>
              <w:t>60天</w:t>
            </w:r>
            <w:r>
              <w:rPr>
                <w:rFonts w:ascii="宋体" w:hAnsi="宋体"/>
                <w:kern w:val="0"/>
                <w:sz w:val="20"/>
                <w:szCs w:val="20"/>
                <w:lang w:val="en-GB"/>
              </w:rPr>
              <w:t>短期服务（安装指导和相关测试支持）</w:t>
            </w:r>
          </w:p>
        </w:tc>
      </w:tr>
      <w:tr w14:paraId="18DE9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noWrap w:val="0"/>
            <w:vAlign w:val="top"/>
          </w:tcPr>
          <w:p w14:paraId="29A2DA09">
            <w:pPr>
              <w:widowControl/>
              <w:spacing w:line="300" w:lineRule="auto"/>
              <w:jc w:val="center"/>
              <w:rPr>
                <w:rFonts w:ascii="宋体" w:hAnsi="宋体"/>
                <w:kern w:val="0"/>
                <w:sz w:val="20"/>
                <w:szCs w:val="20"/>
                <w:lang w:val="en-GB"/>
              </w:rPr>
            </w:pPr>
            <w:r>
              <w:rPr>
                <w:rFonts w:ascii="宋体" w:hAnsi="宋体"/>
                <w:kern w:val="0"/>
                <w:sz w:val="20"/>
                <w:szCs w:val="20"/>
                <w:lang w:val="en-GB"/>
              </w:rPr>
              <w:t>9</w:t>
            </w:r>
          </w:p>
        </w:tc>
        <w:tc>
          <w:tcPr>
            <w:tcW w:w="1843" w:type="dxa"/>
            <w:noWrap w:val="0"/>
            <w:vAlign w:val="center"/>
          </w:tcPr>
          <w:p w14:paraId="4842B10E">
            <w:pPr>
              <w:widowControl/>
              <w:spacing w:line="300" w:lineRule="auto"/>
              <w:jc w:val="center"/>
              <w:rPr>
                <w:rFonts w:ascii="宋体" w:hAnsi="宋体"/>
                <w:kern w:val="0"/>
                <w:sz w:val="20"/>
                <w:szCs w:val="20"/>
                <w:lang w:val="en-GB"/>
              </w:rPr>
            </w:pPr>
            <w:r>
              <w:rPr>
                <w:rFonts w:ascii="宋体" w:hAnsi="宋体"/>
                <w:kern w:val="0"/>
                <w:sz w:val="20"/>
                <w:szCs w:val="20"/>
                <w:lang w:val="en-GB"/>
              </w:rPr>
              <w:t>调试配套工作平台</w:t>
            </w:r>
          </w:p>
        </w:tc>
        <w:tc>
          <w:tcPr>
            <w:tcW w:w="2268" w:type="dxa"/>
            <w:noWrap w:val="0"/>
            <w:vAlign w:val="center"/>
          </w:tcPr>
          <w:p w14:paraId="3CC5246E">
            <w:pPr>
              <w:widowControl/>
              <w:spacing w:line="300" w:lineRule="auto"/>
              <w:jc w:val="center"/>
              <w:rPr>
                <w:rFonts w:ascii="宋体" w:hAnsi="宋体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noWrap w:val="0"/>
            <w:vAlign w:val="center"/>
          </w:tcPr>
          <w:p w14:paraId="250E2C89">
            <w:pPr>
              <w:widowControl/>
              <w:spacing w:line="300" w:lineRule="auto"/>
              <w:jc w:val="center"/>
              <w:rPr>
                <w:rFonts w:ascii="宋体" w:hAnsi="宋体"/>
                <w:kern w:val="0"/>
                <w:sz w:val="20"/>
                <w:szCs w:val="20"/>
                <w:lang w:val="en-GB"/>
              </w:rPr>
            </w:pPr>
            <w:r>
              <w:rPr>
                <w:rFonts w:ascii="宋体" w:hAnsi="宋体"/>
                <w:kern w:val="0"/>
                <w:sz w:val="20"/>
                <w:szCs w:val="20"/>
                <w:lang w:val="en-GB"/>
              </w:rPr>
              <w:t>2套</w:t>
            </w:r>
          </w:p>
        </w:tc>
        <w:tc>
          <w:tcPr>
            <w:tcW w:w="2552" w:type="dxa"/>
            <w:noWrap w:val="0"/>
            <w:vAlign w:val="center"/>
          </w:tcPr>
          <w:p w14:paraId="36748EF1">
            <w:pPr>
              <w:widowControl/>
              <w:spacing w:line="300" w:lineRule="auto"/>
              <w:jc w:val="center"/>
              <w:rPr>
                <w:rFonts w:ascii="宋体" w:hAnsi="宋体"/>
                <w:kern w:val="0"/>
                <w:sz w:val="20"/>
                <w:szCs w:val="20"/>
                <w:lang w:val="en-GB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  <w:lang w:val="en-GB"/>
              </w:rPr>
              <w:t>符合IO相关标准</w:t>
            </w:r>
          </w:p>
        </w:tc>
      </w:tr>
    </w:tbl>
    <w:p w14:paraId="3BB247DB">
      <w:pPr>
        <w:ind w:firstLine="174" w:firstLineChars="83"/>
        <w:jc w:val="center"/>
      </w:pPr>
      <w:r>
        <w:rPr>
          <w:rFonts w:hint="eastAsia"/>
        </w:rPr>
        <w:t>表格2. I</w:t>
      </w:r>
      <w:r>
        <w:t>TER电源二期极向场变流器模块及外旁通</w:t>
      </w:r>
      <w:r>
        <w:rPr>
          <w:rFonts w:hint="eastAsia"/>
        </w:rPr>
        <w:t>主要部件清单</w:t>
      </w:r>
    </w:p>
    <w:tbl>
      <w:tblPr>
        <w:tblStyle w:val="4"/>
        <w:tblW w:w="82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843"/>
        <w:gridCol w:w="2268"/>
        <w:gridCol w:w="850"/>
        <w:gridCol w:w="2552"/>
      </w:tblGrid>
      <w:tr w14:paraId="20EFB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noWrap w:val="0"/>
            <w:vAlign w:val="top"/>
          </w:tcPr>
          <w:p w14:paraId="3453D49F">
            <w:pPr>
              <w:widowControl/>
              <w:spacing w:line="300" w:lineRule="auto"/>
              <w:jc w:val="center"/>
              <w:rPr>
                <w:rFonts w:ascii="宋体" w:hAnsi="宋体"/>
                <w:b/>
                <w:kern w:val="0"/>
                <w:sz w:val="22"/>
                <w:lang w:val="en-GB"/>
              </w:rPr>
            </w:pPr>
            <w:r>
              <w:rPr>
                <w:rFonts w:ascii="宋体" w:hAnsi="宋体"/>
                <w:b/>
                <w:kern w:val="0"/>
                <w:sz w:val="22"/>
                <w:lang w:val="en-GB"/>
              </w:rPr>
              <w:t>序号</w:t>
            </w:r>
          </w:p>
        </w:tc>
        <w:tc>
          <w:tcPr>
            <w:tcW w:w="1843" w:type="dxa"/>
            <w:noWrap w:val="0"/>
            <w:vAlign w:val="top"/>
          </w:tcPr>
          <w:p w14:paraId="485F9963">
            <w:pPr>
              <w:widowControl/>
              <w:spacing w:line="300" w:lineRule="auto"/>
              <w:jc w:val="center"/>
              <w:rPr>
                <w:rFonts w:ascii="宋体" w:hAnsi="宋体"/>
                <w:b/>
                <w:kern w:val="0"/>
                <w:sz w:val="22"/>
                <w:lang w:val="en-GB"/>
              </w:rPr>
            </w:pPr>
            <w:r>
              <w:rPr>
                <w:rFonts w:ascii="宋体" w:hAnsi="宋体"/>
                <w:b/>
                <w:kern w:val="0"/>
                <w:sz w:val="22"/>
                <w:lang w:val="en-GB"/>
              </w:rPr>
              <w:t>名称</w:t>
            </w:r>
          </w:p>
        </w:tc>
        <w:tc>
          <w:tcPr>
            <w:tcW w:w="2268" w:type="dxa"/>
            <w:noWrap w:val="0"/>
            <w:vAlign w:val="top"/>
          </w:tcPr>
          <w:p w14:paraId="7594A2DB">
            <w:pPr>
              <w:widowControl/>
              <w:spacing w:line="300" w:lineRule="auto"/>
              <w:jc w:val="center"/>
              <w:rPr>
                <w:rFonts w:ascii="宋体" w:hAnsi="宋体"/>
                <w:b/>
                <w:kern w:val="0"/>
                <w:sz w:val="22"/>
                <w:lang w:val="en-GB"/>
              </w:rPr>
            </w:pPr>
            <w:r>
              <w:rPr>
                <w:rFonts w:ascii="宋体" w:hAnsi="宋体"/>
                <w:b/>
                <w:kern w:val="0"/>
                <w:sz w:val="22"/>
                <w:lang w:val="en-GB"/>
              </w:rPr>
              <w:t>型号</w:t>
            </w:r>
            <w:r>
              <w:rPr>
                <w:rFonts w:hint="eastAsia" w:ascii="宋体" w:hAnsi="宋体"/>
                <w:b/>
                <w:kern w:val="0"/>
                <w:sz w:val="22"/>
              </w:rPr>
              <w:t>/</w:t>
            </w:r>
            <w:r>
              <w:rPr>
                <w:rFonts w:ascii="宋体" w:hAnsi="宋体"/>
                <w:b/>
                <w:kern w:val="0"/>
                <w:sz w:val="22"/>
                <w:lang w:val="en-GB"/>
              </w:rPr>
              <w:t>规格</w:t>
            </w:r>
          </w:p>
        </w:tc>
        <w:tc>
          <w:tcPr>
            <w:tcW w:w="850" w:type="dxa"/>
            <w:noWrap w:val="0"/>
            <w:vAlign w:val="top"/>
          </w:tcPr>
          <w:p w14:paraId="46B885A3">
            <w:pPr>
              <w:widowControl/>
              <w:spacing w:line="300" w:lineRule="auto"/>
              <w:jc w:val="center"/>
              <w:rPr>
                <w:rFonts w:ascii="宋体" w:hAnsi="宋体"/>
                <w:b/>
                <w:kern w:val="0"/>
                <w:sz w:val="22"/>
                <w:lang w:val="en-GB"/>
              </w:rPr>
            </w:pPr>
            <w:r>
              <w:rPr>
                <w:rFonts w:ascii="宋体" w:hAnsi="宋体"/>
                <w:b/>
                <w:kern w:val="0"/>
                <w:sz w:val="22"/>
                <w:lang w:val="en-GB"/>
              </w:rPr>
              <w:t>数量</w:t>
            </w:r>
          </w:p>
        </w:tc>
        <w:tc>
          <w:tcPr>
            <w:tcW w:w="2552" w:type="dxa"/>
            <w:noWrap w:val="0"/>
            <w:vAlign w:val="top"/>
          </w:tcPr>
          <w:p w14:paraId="1C04FF88">
            <w:pPr>
              <w:widowControl/>
              <w:spacing w:line="300" w:lineRule="auto"/>
              <w:jc w:val="center"/>
              <w:rPr>
                <w:rFonts w:ascii="宋体" w:hAnsi="宋体"/>
                <w:b/>
                <w:kern w:val="0"/>
                <w:sz w:val="22"/>
                <w:lang w:val="en-GB"/>
              </w:rPr>
            </w:pPr>
            <w:r>
              <w:rPr>
                <w:rFonts w:ascii="宋体" w:hAnsi="宋体"/>
                <w:b/>
                <w:kern w:val="0"/>
                <w:sz w:val="22"/>
                <w:lang w:val="en-GB"/>
              </w:rPr>
              <w:t>备注</w:t>
            </w:r>
          </w:p>
        </w:tc>
      </w:tr>
      <w:tr w14:paraId="24CAC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noWrap w:val="0"/>
            <w:vAlign w:val="top"/>
          </w:tcPr>
          <w:p w14:paraId="065C15EA">
            <w:pPr>
              <w:widowControl/>
              <w:spacing w:line="300" w:lineRule="auto"/>
              <w:ind w:firstLine="200"/>
              <w:jc w:val="left"/>
              <w:rPr>
                <w:rFonts w:ascii="宋体" w:hAnsi="宋体"/>
                <w:kern w:val="0"/>
                <w:sz w:val="20"/>
                <w:szCs w:val="20"/>
                <w:lang w:val="en-GB"/>
              </w:rPr>
            </w:pPr>
            <w:r>
              <w:rPr>
                <w:rFonts w:ascii="宋体" w:hAnsi="宋体"/>
                <w:kern w:val="0"/>
                <w:sz w:val="20"/>
                <w:szCs w:val="20"/>
                <w:lang w:val="en-GB"/>
              </w:rPr>
              <w:t>1</w:t>
            </w:r>
          </w:p>
        </w:tc>
        <w:tc>
          <w:tcPr>
            <w:tcW w:w="1843" w:type="dxa"/>
            <w:noWrap w:val="0"/>
            <w:vAlign w:val="center"/>
          </w:tcPr>
          <w:p w14:paraId="2F6F0BE3">
            <w:pPr>
              <w:widowControl/>
              <w:spacing w:line="300" w:lineRule="auto"/>
              <w:jc w:val="center"/>
              <w:rPr>
                <w:rFonts w:ascii="宋体" w:hAnsi="宋体"/>
                <w:kern w:val="0"/>
                <w:sz w:val="20"/>
                <w:szCs w:val="20"/>
                <w:lang w:val="en-GB"/>
              </w:rPr>
            </w:pPr>
            <w:r>
              <w:rPr>
                <w:rFonts w:ascii="宋体" w:hAnsi="宋体"/>
                <w:kern w:val="0"/>
                <w:sz w:val="20"/>
                <w:szCs w:val="20"/>
                <w:lang w:val="en-GB"/>
              </w:rPr>
              <w:t>晶闸管</w:t>
            </w:r>
          </w:p>
        </w:tc>
        <w:tc>
          <w:tcPr>
            <w:tcW w:w="2268" w:type="dxa"/>
            <w:noWrap w:val="0"/>
            <w:vAlign w:val="center"/>
          </w:tcPr>
          <w:p w14:paraId="20210E19">
            <w:pPr>
              <w:widowControl/>
              <w:spacing w:line="300" w:lineRule="auto"/>
              <w:jc w:val="center"/>
              <w:rPr>
                <w:rFonts w:ascii="宋体" w:hAnsi="宋体"/>
                <w:kern w:val="0"/>
                <w:sz w:val="20"/>
                <w:szCs w:val="20"/>
                <w:lang w:val="en-GB"/>
              </w:rPr>
            </w:pPr>
            <w:r>
              <w:rPr>
                <w:rFonts w:hint="eastAsia"/>
              </w:rPr>
              <w:t>CSR KP</w:t>
            </w:r>
            <w:r>
              <w:rPr>
                <w:rFonts w:hint="eastAsia"/>
                <w:vertAlign w:val="subscript"/>
              </w:rPr>
              <w:t>D</w:t>
            </w:r>
            <w:r>
              <w:rPr>
                <w:rFonts w:hint="eastAsia"/>
              </w:rPr>
              <w:t>5000-52</w:t>
            </w:r>
          </w:p>
        </w:tc>
        <w:tc>
          <w:tcPr>
            <w:tcW w:w="850" w:type="dxa"/>
            <w:noWrap w:val="0"/>
            <w:vAlign w:val="center"/>
          </w:tcPr>
          <w:p w14:paraId="033CFAB6">
            <w:pPr>
              <w:widowControl/>
              <w:spacing w:line="300" w:lineRule="auto"/>
              <w:jc w:val="center"/>
              <w:rPr>
                <w:rFonts w:ascii="宋体" w:hAnsi="宋体"/>
                <w:kern w:val="0"/>
                <w:sz w:val="20"/>
                <w:szCs w:val="20"/>
                <w:lang w:val="en-GB"/>
              </w:rPr>
            </w:pPr>
            <w:r>
              <w:rPr>
                <w:rFonts w:ascii="宋体" w:hAnsi="宋体"/>
                <w:kern w:val="0"/>
                <w:sz w:val="20"/>
                <w:szCs w:val="20"/>
                <w:lang w:val="en-GB"/>
              </w:rPr>
              <w:t>624个</w:t>
            </w:r>
          </w:p>
        </w:tc>
        <w:tc>
          <w:tcPr>
            <w:tcW w:w="2552" w:type="dxa"/>
            <w:noWrap w:val="0"/>
            <w:vAlign w:val="center"/>
          </w:tcPr>
          <w:p w14:paraId="64DEAD0B">
            <w:pPr>
              <w:widowControl/>
              <w:spacing w:line="300" w:lineRule="auto"/>
              <w:jc w:val="center"/>
              <w:rPr>
                <w:rFonts w:ascii="宋体" w:hAnsi="宋体"/>
                <w:kern w:val="0"/>
                <w:sz w:val="20"/>
                <w:szCs w:val="20"/>
                <w:lang w:val="en-GB"/>
              </w:rPr>
            </w:pPr>
            <w:bookmarkStart w:id="0" w:name="OLE_LINK15"/>
            <w:r>
              <w:rPr>
                <w:rFonts w:hint="eastAsia" w:ascii="宋体" w:hAnsi="宋体"/>
                <w:kern w:val="0"/>
                <w:sz w:val="20"/>
                <w:szCs w:val="20"/>
                <w:lang w:val="en-GB"/>
              </w:rPr>
              <w:t>推荐型号规格</w:t>
            </w:r>
            <w:bookmarkEnd w:id="0"/>
          </w:p>
        </w:tc>
      </w:tr>
      <w:tr w14:paraId="37C7C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noWrap w:val="0"/>
            <w:vAlign w:val="top"/>
          </w:tcPr>
          <w:p w14:paraId="56D3AEB4">
            <w:pPr>
              <w:widowControl/>
              <w:spacing w:line="300" w:lineRule="auto"/>
              <w:ind w:firstLine="200"/>
              <w:jc w:val="left"/>
              <w:rPr>
                <w:rFonts w:ascii="宋体" w:hAnsi="宋体"/>
                <w:kern w:val="0"/>
                <w:sz w:val="20"/>
                <w:szCs w:val="20"/>
                <w:lang w:val="en-GB"/>
              </w:rPr>
            </w:pPr>
            <w:r>
              <w:rPr>
                <w:rFonts w:ascii="宋体" w:hAnsi="宋体"/>
                <w:kern w:val="0"/>
                <w:sz w:val="20"/>
                <w:szCs w:val="20"/>
                <w:lang w:val="en-GB"/>
              </w:rPr>
              <w:t>2</w:t>
            </w:r>
          </w:p>
        </w:tc>
        <w:tc>
          <w:tcPr>
            <w:tcW w:w="1843" w:type="dxa"/>
            <w:noWrap w:val="0"/>
            <w:vAlign w:val="center"/>
          </w:tcPr>
          <w:p w14:paraId="4BEA523E">
            <w:pPr>
              <w:widowControl/>
              <w:spacing w:line="300" w:lineRule="auto"/>
              <w:jc w:val="center"/>
              <w:rPr>
                <w:rFonts w:ascii="宋体" w:hAnsi="宋体"/>
                <w:kern w:val="0"/>
                <w:sz w:val="20"/>
                <w:szCs w:val="20"/>
                <w:lang w:val="en-GB"/>
              </w:rPr>
            </w:pPr>
            <w:r>
              <w:rPr>
                <w:rFonts w:ascii="宋体" w:hAnsi="宋体"/>
                <w:kern w:val="0"/>
                <w:sz w:val="20"/>
                <w:szCs w:val="20"/>
                <w:lang w:val="en-GB"/>
              </w:rPr>
              <w:t>快速熔断器</w:t>
            </w:r>
          </w:p>
        </w:tc>
        <w:tc>
          <w:tcPr>
            <w:tcW w:w="2268" w:type="dxa"/>
            <w:noWrap w:val="0"/>
            <w:vAlign w:val="center"/>
          </w:tcPr>
          <w:p w14:paraId="5E420FC9">
            <w:pPr>
              <w:widowControl/>
              <w:spacing w:line="300" w:lineRule="auto"/>
              <w:jc w:val="center"/>
              <w:rPr>
                <w:rFonts w:ascii="宋体" w:hAnsi="宋体"/>
                <w:kern w:val="0"/>
                <w:sz w:val="20"/>
                <w:szCs w:val="20"/>
                <w:lang w:val="en-GB"/>
              </w:rPr>
            </w:pPr>
            <w:r>
              <w:rPr>
                <w:rFonts w:hint="eastAsia"/>
              </w:rPr>
              <w:t>Ferraz 12 URD 284 PLNF 3000</w:t>
            </w:r>
          </w:p>
        </w:tc>
        <w:tc>
          <w:tcPr>
            <w:tcW w:w="850" w:type="dxa"/>
            <w:noWrap w:val="0"/>
            <w:vAlign w:val="center"/>
          </w:tcPr>
          <w:p w14:paraId="57EAAADF">
            <w:pPr>
              <w:widowControl/>
              <w:spacing w:line="300" w:lineRule="auto"/>
              <w:jc w:val="center"/>
              <w:rPr>
                <w:rFonts w:ascii="宋体" w:hAnsi="宋体"/>
                <w:kern w:val="0"/>
                <w:sz w:val="20"/>
                <w:szCs w:val="20"/>
                <w:lang w:val="en-GB"/>
              </w:rPr>
            </w:pPr>
            <w:r>
              <w:rPr>
                <w:rFonts w:ascii="宋体" w:hAnsi="宋体"/>
                <w:kern w:val="0"/>
                <w:sz w:val="20"/>
                <w:szCs w:val="20"/>
                <w:lang w:val="en-GB"/>
              </w:rPr>
              <w:t>576个</w:t>
            </w:r>
          </w:p>
        </w:tc>
        <w:tc>
          <w:tcPr>
            <w:tcW w:w="2552" w:type="dxa"/>
            <w:noWrap w:val="0"/>
            <w:vAlign w:val="center"/>
          </w:tcPr>
          <w:p w14:paraId="4E68622F">
            <w:pPr>
              <w:widowControl/>
              <w:spacing w:line="300" w:lineRule="auto"/>
              <w:jc w:val="center"/>
              <w:rPr>
                <w:rFonts w:ascii="宋体" w:hAnsi="宋体"/>
                <w:kern w:val="0"/>
                <w:sz w:val="20"/>
                <w:szCs w:val="20"/>
                <w:lang w:val="en-GB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  <w:lang w:val="en-GB"/>
              </w:rPr>
              <w:t>推荐型号规格</w:t>
            </w:r>
          </w:p>
        </w:tc>
      </w:tr>
      <w:tr w14:paraId="5C865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noWrap w:val="0"/>
            <w:vAlign w:val="top"/>
          </w:tcPr>
          <w:p w14:paraId="0948113F">
            <w:pPr>
              <w:widowControl/>
              <w:spacing w:line="300" w:lineRule="auto"/>
              <w:jc w:val="center"/>
              <w:rPr>
                <w:rFonts w:ascii="宋体" w:hAnsi="宋体"/>
                <w:kern w:val="0"/>
                <w:sz w:val="20"/>
                <w:szCs w:val="20"/>
                <w:lang w:val="en-GB"/>
              </w:rPr>
            </w:pPr>
            <w:r>
              <w:rPr>
                <w:rFonts w:ascii="宋体" w:hAnsi="宋体"/>
                <w:kern w:val="0"/>
                <w:sz w:val="20"/>
                <w:szCs w:val="20"/>
                <w:lang w:val="en-GB"/>
              </w:rPr>
              <w:t>3</w:t>
            </w:r>
          </w:p>
        </w:tc>
        <w:tc>
          <w:tcPr>
            <w:tcW w:w="1843" w:type="dxa"/>
            <w:noWrap w:val="0"/>
            <w:vAlign w:val="center"/>
          </w:tcPr>
          <w:p w14:paraId="31D0E9C7">
            <w:pPr>
              <w:widowControl/>
              <w:spacing w:line="300" w:lineRule="auto"/>
              <w:jc w:val="center"/>
              <w:rPr>
                <w:rFonts w:ascii="宋体" w:hAnsi="宋体"/>
                <w:kern w:val="0"/>
                <w:sz w:val="20"/>
                <w:szCs w:val="20"/>
                <w:lang w:val="en-GB"/>
              </w:rPr>
            </w:pPr>
            <w:r>
              <w:rPr>
                <w:rFonts w:ascii="宋体" w:hAnsi="宋体"/>
                <w:kern w:val="0"/>
                <w:sz w:val="20"/>
                <w:szCs w:val="20"/>
                <w:lang w:val="en-GB"/>
              </w:rPr>
              <w:t>触发板</w:t>
            </w:r>
          </w:p>
        </w:tc>
        <w:tc>
          <w:tcPr>
            <w:tcW w:w="2268" w:type="dxa"/>
            <w:noWrap w:val="0"/>
            <w:vAlign w:val="center"/>
          </w:tcPr>
          <w:p w14:paraId="787A24B0">
            <w:pPr>
              <w:widowControl/>
              <w:spacing w:line="300" w:lineRule="auto"/>
              <w:jc w:val="center"/>
              <w:rPr>
                <w:rFonts w:ascii="宋体" w:hAnsi="宋体"/>
                <w:kern w:val="0"/>
                <w:sz w:val="20"/>
                <w:szCs w:val="20"/>
                <w:lang w:val="en-GB"/>
              </w:rPr>
            </w:pPr>
            <w:r>
              <w:rPr>
                <w:rFonts w:ascii="宋体" w:hAnsi="宋体"/>
                <w:kern w:val="0"/>
                <w:sz w:val="20"/>
                <w:szCs w:val="20"/>
                <w:lang w:val="en-GB"/>
              </w:rPr>
              <w:t>/</w:t>
            </w:r>
          </w:p>
        </w:tc>
        <w:tc>
          <w:tcPr>
            <w:tcW w:w="850" w:type="dxa"/>
            <w:noWrap w:val="0"/>
            <w:vAlign w:val="center"/>
          </w:tcPr>
          <w:p w14:paraId="5ABBE85C">
            <w:pPr>
              <w:widowControl/>
              <w:spacing w:line="300" w:lineRule="auto"/>
              <w:jc w:val="center"/>
              <w:rPr>
                <w:rFonts w:ascii="宋体" w:hAnsi="宋体"/>
                <w:kern w:val="0"/>
                <w:sz w:val="20"/>
                <w:szCs w:val="20"/>
                <w:lang w:val="en-GB"/>
              </w:rPr>
            </w:pPr>
            <w:r>
              <w:rPr>
                <w:rFonts w:ascii="宋体" w:hAnsi="宋体"/>
                <w:kern w:val="0"/>
                <w:sz w:val="20"/>
                <w:szCs w:val="20"/>
                <w:lang w:val="en-GB"/>
              </w:rPr>
              <w:t>312个</w:t>
            </w:r>
          </w:p>
        </w:tc>
        <w:tc>
          <w:tcPr>
            <w:tcW w:w="2552" w:type="dxa"/>
            <w:noWrap w:val="0"/>
            <w:vAlign w:val="center"/>
          </w:tcPr>
          <w:p w14:paraId="7664AC4A">
            <w:pPr>
              <w:widowControl/>
              <w:spacing w:line="300" w:lineRule="auto"/>
              <w:jc w:val="center"/>
              <w:rPr>
                <w:rFonts w:ascii="宋体" w:hAnsi="宋体"/>
                <w:kern w:val="0"/>
                <w:sz w:val="20"/>
                <w:szCs w:val="20"/>
                <w:lang w:val="en-GB"/>
              </w:rPr>
            </w:pPr>
          </w:p>
        </w:tc>
      </w:tr>
      <w:tr w14:paraId="6DE7D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noWrap w:val="0"/>
            <w:vAlign w:val="top"/>
          </w:tcPr>
          <w:p w14:paraId="7A2747A8">
            <w:pPr>
              <w:widowControl/>
              <w:spacing w:line="300" w:lineRule="auto"/>
              <w:jc w:val="center"/>
              <w:rPr>
                <w:rFonts w:ascii="宋体" w:hAnsi="宋体"/>
                <w:kern w:val="0"/>
                <w:sz w:val="20"/>
                <w:szCs w:val="20"/>
                <w:lang w:val="en-GB"/>
              </w:rPr>
            </w:pPr>
            <w:r>
              <w:rPr>
                <w:rFonts w:ascii="宋体" w:hAnsi="宋体"/>
                <w:kern w:val="0"/>
                <w:sz w:val="20"/>
                <w:szCs w:val="20"/>
                <w:lang w:val="en-GB"/>
              </w:rPr>
              <w:t>4</w:t>
            </w:r>
          </w:p>
        </w:tc>
        <w:tc>
          <w:tcPr>
            <w:tcW w:w="1843" w:type="dxa"/>
            <w:noWrap w:val="0"/>
            <w:vAlign w:val="center"/>
          </w:tcPr>
          <w:p w14:paraId="5315CA23">
            <w:pPr>
              <w:widowControl/>
              <w:spacing w:line="300" w:lineRule="auto"/>
              <w:jc w:val="center"/>
              <w:rPr>
                <w:rFonts w:ascii="宋体" w:hAnsi="宋体"/>
                <w:kern w:val="0"/>
                <w:sz w:val="20"/>
                <w:szCs w:val="20"/>
                <w:lang w:val="en-GB"/>
              </w:rPr>
            </w:pPr>
            <w:r>
              <w:rPr>
                <w:rFonts w:ascii="宋体" w:hAnsi="宋体"/>
                <w:kern w:val="0"/>
                <w:sz w:val="20"/>
                <w:szCs w:val="20"/>
                <w:lang w:val="en-GB"/>
              </w:rPr>
              <w:t>晶闸管散热器</w:t>
            </w:r>
          </w:p>
        </w:tc>
        <w:tc>
          <w:tcPr>
            <w:tcW w:w="2268" w:type="dxa"/>
            <w:noWrap w:val="0"/>
            <w:vAlign w:val="center"/>
          </w:tcPr>
          <w:p w14:paraId="2FDCAE39">
            <w:pPr>
              <w:widowControl/>
              <w:spacing w:line="300" w:lineRule="auto"/>
              <w:jc w:val="center"/>
              <w:rPr>
                <w:rFonts w:ascii="宋体" w:hAnsi="宋体"/>
                <w:kern w:val="0"/>
                <w:sz w:val="20"/>
                <w:szCs w:val="20"/>
                <w:lang w:val="en-GB"/>
              </w:rPr>
            </w:pPr>
            <w:r>
              <w:rPr>
                <w:rFonts w:ascii="宋体" w:hAnsi="宋体"/>
                <w:kern w:val="0"/>
                <w:sz w:val="20"/>
                <w:szCs w:val="20"/>
                <w:lang w:val="en-GB"/>
              </w:rPr>
              <w:t>/</w:t>
            </w:r>
          </w:p>
        </w:tc>
        <w:tc>
          <w:tcPr>
            <w:tcW w:w="850" w:type="dxa"/>
            <w:noWrap w:val="0"/>
            <w:vAlign w:val="center"/>
          </w:tcPr>
          <w:p w14:paraId="6CC70D8A">
            <w:pPr>
              <w:widowControl/>
              <w:spacing w:line="300" w:lineRule="auto"/>
              <w:jc w:val="center"/>
              <w:rPr>
                <w:rFonts w:ascii="宋体" w:hAnsi="宋体"/>
                <w:kern w:val="0"/>
                <w:sz w:val="20"/>
                <w:szCs w:val="20"/>
                <w:lang w:val="en-GB"/>
              </w:rPr>
            </w:pPr>
            <w:r>
              <w:rPr>
                <w:rFonts w:ascii="宋体" w:hAnsi="宋体"/>
                <w:kern w:val="0"/>
                <w:sz w:val="20"/>
                <w:szCs w:val="20"/>
                <w:lang w:val="en-GB"/>
              </w:rPr>
              <w:t>624个</w:t>
            </w:r>
          </w:p>
        </w:tc>
        <w:tc>
          <w:tcPr>
            <w:tcW w:w="2552" w:type="dxa"/>
            <w:noWrap w:val="0"/>
            <w:vAlign w:val="center"/>
          </w:tcPr>
          <w:p w14:paraId="25A6DCB7">
            <w:pPr>
              <w:widowControl/>
              <w:spacing w:line="300" w:lineRule="auto"/>
              <w:jc w:val="center"/>
              <w:rPr>
                <w:rFonts w:ascii="宋体" w:hAnsi="宋体"/>
                <w:kern w:val="0"/>
                <w:sz w:val="20"/>
                <w:szCs w:val="20"/>
                <w:lang w:val="en-GB"/>
              </w:rPr>
            </w:pPr>
          </w:p>
        </w:tc>
      </w:tr>
      <w:tr w14:paraId="41A72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noWrap w:val="0"/>
            <w:vAlign w:val="top"/>
          </w:tcPr>
          <w:p w14:paraId="0BA7494A">
            <w:pPr>
              <w:widowControl/>
              <w:spacing w:line="300" w:lineRule="auto"/>
              <w:jc w:val="center"/>
              <w:rPr>
                <w:rFonts w:ascii="宋体" w:hAnsi="宋体"/>
                <w:kern w:val="0"/>
                <w:sz w:val="20"/>
                <w:szCs w:val="20"/>
                <w:lang w:val="en-GB"/>
              </w:rPr>
            </w:pPr>
            <w:r>
              <w:rPr>
                <w:rFonts w:ascii="宋体" w:hAnsi="宋体"/>
                <w:kern w:val="0"/>
                <w:sz w:val="20"/>
                <w:szCs w:val="20"/>
                <w:lang w:val="en-GB"/>
              </w:rPr>
              <w:t>5</w:t>
            </w:r>
          </w:p>
        </w:tc>
        <w:tc>
          <w:tcPr>
            <w:tcW w:w="1843" w:type="dxa"/>
            <w:noWrap w:val="0"/>
            <w:vAlign w:val="center"/>
          </w:tcPr>
          <w:p w14:paraId="48D2466A">
            <w:pPr>
              <w:widowControl/>
              <w:spacing w:line="300" w:lineRule="auto"/>
              <w:jc w:val="center"/>
              <w:rPr>
                <w:rFonts w:ascii="宋体" w:hAnsi="宋体"/>
                <w:kern w:val="0"/>
                <w:sz w:val="20"/>
                <w:szCs w:val="20"/>
                <w:lang w:val="en-GB"/>
              </w:rPr>
            </w:pPr>
            <w:r>
              <w:rPr>
                <w:rFonts w:ascii="宋体" w:hAnsi="宋体"/>
                <w:kern w:val="0"/>
                <w:sz w:val="20"/>
                <w:szCs w:val="20"/>
                <w:lang w:val="en-GB"/>
              </w:rPr>
              <w:t>并联之路</w:t>
            </w:r>
          </w:p>
        </w:tc>
        <w:tc>
          <w:tcPr>
            <w:tcW w:w="2268" w:type="dxa"/>
            <w:noWrap w:val="0"/>
            <w:vAlign w:val="center"/>
          </w:tcPr>
          <w:p w14:paraId="5D0969A4">
            <w:pPr>
              <w:widowControl/>
              <w:spacing w:line="300" w:lineRule="auto"/>
              <w:jc w:val="center"/>
              <w:rPr>
                <w:rFonts w:ascii="宋体" w:hAnsi="宋体"/>
                <w:kern w:val="0"/>
                <w:sz w:val="20"/>
                <w:szCs w:val="20"/>
                <w:lang w:val="en-GB"/>
              </w:rPr>
            </w:pPr>
            <w:r>
              <w:rPr>
                <w:rFonts w:ascii="宋体" w:hAnsi="宋体"/>
                <w:kern w:val="0"/>
                <w:sz w:val="20"/>
                <w:szCs w:val="20"/>
                <w:lang w:val="en-GB"/>
              </w:rPr>
              <w:t>/</w:t>
            </w:r>
          </w:p>
        </w:tc>
        <w:tc>
          <w:tcPr>
            <w:tcW w:w="850" w:type="dxa"/>
            <w:noWrap w:val="0"/>
            <w:vAlign w:val="center"/>
          </w:tcPr>
          <w:p w14:paraId="47ACE1B2">
            <w:pPr>
              <w:widowControl/>
              <w:spacing w:line="300" w:lineRule="auto"/>
              <w:jc w:val="center"/>
              <w:rPr>
                <w:rFonts w:ascii="宋体" w:hAnsi="宋体"/>
                <w:kern w:val="0"/>
                <w:sz w:val="20"/>
                <w:szCs w:val="20"/>
                <w:lang w:val="en-GB"/>
              </w:rPr>
            </w:pPr>
            <w:r>
              <w:rPr>
                <w:rFonts w:ascii="宋体" w:hAnsi="宋体"/>
                <w:kern w:val="0"/>
                <w:sz w:val="20"/>
                <w:szCs w:val="20"/>
                <w:lang w:val="en-GB"/>
              </w:rPr>
              <w:t>624个</w:t>
            </w:r>
          </w:p>
        </w:tc>
        <w:tc>
          <w:tcPr>
            <w:tcW w:w="2552" w:type="dxa"/>
            <w:noWrap w:val="0"/>
            <w:vAlign w:val="center"/>
          </w:tcPr>
          <w:p w14:paraId="41CB1D8A">
            <w:pPr>
              <w:widowControl/>
              <w:spacing w:line="300" w:lineRule="auto"/>
              <w:jc w:val="center"/>
              <w:rPr>
                <w:rFonts w:ascii="宋体" w:hAnsi="宋体"/>
                <w:kern w:val="0"/>
                <w:sz w:val="20"/>
                <w:szCs w:val="20"/>
                <w:lang w:val="en-GB"/>
              </w:rPr>
            </w:pPr>
          </w:p>
        </w:tc>
      </w:tr>
      <w:tr w14:paraId="76731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noWrap w:val="0"/>
            <w:vAlign w:val="center"/>
          </w:tcPr>
          <w:p w14:paraId="65932E69">
            <w:pPr>
              <w:widowControl/>
              <w:spacing w:line="300" w:lineRule="auto"/>
              <w:jc w:val="center"/>
              <w:rPr>
                <w:rFonts w:ascii="宋体" w:hAnsi="宋体"/>
                <w:kern w:val="0"/>
                <w:sz w:val="20"/>
                <w:szCs w:val="20"/>
                <w:lang w:val="en-GB"/>
              </w:rPr>
            </w:pPr>
            <w:r>
              <w:rPr>
                <w:rFonts w:ascii="宋体" w:hAnsi="宋体"/>
                <w:kern w:val="0"/>
                <w:sz w:val="20"/>
                <w:szCs w:val="20"/>
                <w:lang w:val="en-GB"/>
              </w:rPr>
              <w:t>6</w:t>
            </w:r>
          </w:p>
        </w:tc>
        <w:tc>
          <w:tcPr>
            <w:tcW w:w="1843" w:type="dxa"/>
            <w:noWrap w:val="0"/>
            <w:vAlign w:val="center"/>
          </w:tcPr>
          <w:p w14:paraId="2C227327">
            <w:pPr>
              <w:widowControl/>
              <w:spacing w:line="300" w:lineRule="auto"/>
              <w:jc w:val="center"/>
              <w:rPr>
                <w:rFonts w:ascii="宋体" w:hAnsi="宋体"/>
                <w:kern w:val="0"/>
                <w:sz w:val="20"/>
                <w:szCs w:val="20"/>
                <w:lang w:val="en-GB"/>
              </w:rPr>
            </w:pPr>
            <w:r>
              <w:rPr>
                <w:rFonts w:ascii="宋体" w:hAnsi="宋体"/>
                <w:kern w:val="0"/>
                <w:sz w:val="20"/>
                <w:szCs w:val="20"/>
                <w:lang w:val="en-GB"/>
              </w:rPr>
              <w:t>水冷铝排</w:t>
            </w:r>
          </w:p>
        </w:tc>
        <w:tc>
          <w:tcPr>
            <w:tcW w:w="2268" w:type="dxa"/>
            <w:noWrap w:val="0"/>
            <w:vAlign w:val="center"/>
          </w:tcPr>
          <w:p w14:paraId="3AF7659B">
            <w:pPr>
              <w:widowControl/>
              <w:spacing w:line="300" w:lineRule="auto"/>
              <w:jc w:val="center"/>
              <w:rPr>
                <w:rFonts w:ascii="宋体" w:hAnsi="宋体"/>
                <w:kern w:val="0"/>
                <w:sz w:val="20"/>
                <w:szCs w:val="20"/>
                <w:lang w:val="en-GB"/>
              </w:rPr>
            </w:pPr>
            <w:r>
              <w:rPr>
                <w:rFonts w:ascii="宋体" w:hAnsi="宋体"/>
                <w:kern w:val="0"/>
                <w:sz w:val="20"/>
                <w:szCs w:val="20"/>
                <w:lang w:val="en-GB"/>
              </w:rPr>
              <w:t>/</w:t>
            </w:r>
          </w:p>
        </w:tc>
        <w:tc>
          <w:tcPr>
            <w:tcW w:w="850" w:type="dxa"/>
            <w:noWrap w:val="0"/>
            <w:vAlign w:val="center"/>
          </w:tcPr>
          <w:p w14:paraId="25D9F627">
            <w:pPr>
              <w:widowControl/>
              <w:spacing w:line="300" w:lineRule="auto"/>
              <w:jc w:val="center"/>
              <w:rPr>
                <w:rFonts w:ascii="宋体" w:hAnsi="宋体"/>
                <w:kern w:val="0"/>
                <w:sz w:val="20"/>
                <w:szCs w:val="20"/>
                <w:lang w:val="en-GB"/>
              </w:rPr>
            </w:pPr>
            <w:r>
              <w:rPr>
                <w:rFonts w:ascii="宋体" w:hAnsi="宋体"/>
                <w:kern w:val="0"/>
                <w:sz w:val="20"/>
                <w:szCs w:val="20"/>
                <w:lang w:val="en-GB"/>
              </w:rPr>
              <w:t>2套</w:t>
            </w:r>
          </w:p>
        </w:tc>
        <w:tc>
          <w:tcPr>
            <w:tcW w:w="2552" w:type="dxa"/>
            <w:noWrap w:val="0"/>
            <w:vAlign w:val="center"/>
          </w:tcPr>
          <w:p w14:paraId="1DA14011">
            <w:pPr>
              <w:widowControl/>
              <w:spacing w:line="300" w:lineRule="auto"/>
              <w:jc w:val="center"/>
              <w:rPr>
                <w:rFonts w:ascii="宋体" w:hAnsi="宋体"/>
                <w:kern w:val="0"/>
                <w:sz w:val="20"/>
                <w:szCs w:val="20"/>
                <w:lang w:val="en-GB"/>
              </w:rPr>
            </w:pPr>
            <w:r>
              <w:rPr>
                <w:rFonts w:ascii="宋体" w:hAnsi="宋体"/>
                <w:kern w:val="0"/>
                <w:sz w:val="20"/>
                <w:szCs w:val="20"/>
                <w:lang w:val="en-GB"/>
              </w:rPr>
              <w:t>包含直流排、交流排型材、加工、电镀、测试等</w:t>
            </w:r>
          </w:p>
        </w:tc>
      </w:tr>
      <w:tr w14:paraId="714E1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noWrap w:val="0"/>
            <w:vAlign w:val="top"/>
          </w:tcPr>
          <w:p w14:paraId="08A55F5F">
            <w:pPr>
              <w:widowControl/>
              <w:spacing w:line="300" w:lineRule="auto"/>
              <w:jc w:val="center"/>
              <w:rPr>
                <w:rFonts w:ascii="宋体" w:hAnsi="宋体"/>
                <w:kern w:val="0"/>
                <w:sz w:val="20"/>
                <w:szCs w:val="20"/>
                <w:lang w:val="en-GB"/>
              </w:rPr>
            </w:pPr>
            <w:r>
              <w:rPr>
                <w:rFonts w:ascii="宋体" w:hAnsi="宋体"/>
                <w:kern w:val="0"/>
                <w:sz w:val="20"/>
                <w:szCs w:val="20"/>
                <w:lang w:val="en-GB"/>
              </w:rPr>
              <w:t>7</w:t>
            </w:r>
          </w:p>
        </w:tc>
        <w:tc>
          <w:tcPr>
            <w:tcW w:w="1843" w:type="dxa"/>
            <w:noWrap w:val="0"/>
            <w:vAlign w:val="center"/>
          </w:tcPr>
          <w:p w14:paraId="71D53888">
            <w:pPr>
              <w:widowControl/>
              <w:spacing w:line="300" w:lineRule="auto"/>
              <w:jc w:val="center"/>
              <w:rPr>
                <w:rFonts w:ascii="宋体" w:hAnsi="宋体"/>
                <w:kern w:val="0"/>
                <w:sz w:val="20"/>
                <w:szCs w:val="20"/>
                <w:lang w:val="en-GB"/>
              </w:rPr>
            </w:pPr>
            <w:r>
              <w:rPr>
                <w:rFonts w:ascii="宋体" w:hAnsi="宋体"/>
                <w:kern w:val="0"/>
                <w:sz w:val="20"/>
                <w:szCs w:val="20"/>
                <w:lang w:val="en-GB"/>
              </w:rPr>
              <w:t>支撑绝缘材料</w:t>
            </w:r>
          </w:p>
        </w:tc>
        <w:tc>
          <w:tcPr>
            <w:tcW w:w="2268" w:type="dxa"/>
            <w:noWrap w:val="0"/>
            <w:vAlign w:val="center"/>
          </w:tcPr>
          <w:p w14:paraId="06F12CA8">
            <w:pPr>
              <w:widowControl/>
              <w:spacing w:line="300" w:lineRule="auto"/>
              <w:jc w:val="center"/>
              <w:rPr>
                <w:rFonts w:ascii="宋体" w:hAnsi="宋体"/>
                <w:kern w:val="0"/>
                <w:sz w:val="20"/>
                <w:szCs w:val="20"/>
                <w:lang w:val="en-GB"/>
              </w:rPr>
            </w:pPr>
            <w:r>
              <w:rPr>
                <w:rFonts w:ascii="宋体" w:hAnsi="宋体"/>
                <w:kern w:val="0"/>
                <w:sz w:val="20"/>
                <w:szCs w:val="20"/>
                <w:lang w:val="en-GB"/>
              </w:rPr>
              <w:t>/</w:t>
            </w:r>
          </w:p>
        </w:tc>
        <w:tc>
          <w:tcPr>
            <w:tcW w:w="850" w:type="dxa"/>
            <w:noWrap w:val="0"/>
            <w:vAlign w:val="center"/>
          </w:tcPr>
          <w:p w14:paraId="6D678D7F">
            <w:pPr>
              <w:widowControl/>
              <w:spacing w:line="300" w:lineRule="auto"/>
              <w:jc w:val="center"/>
              <w:rPr>
                <w:rFonts w:ascii="宋体" w:hAnsi="宋体"/>
                <w:kern w:val="0"/>
                <w:sz w:val="20"/>
                <w:szCs w:val="20"/>
                <w:lang w:val="en-GB"/>
              </w:rPr>
            </w:pPr>
            <w:r>
              <w:rPr>
                <w:rFonts w:ascii="宋体" w:hAnsi="宋体"/>
                <w:kern w:val="0"/>
                <w:sz w:val="20"/>
                <w:szCs w:val="20"/>
                <w:lang w:val="en-GB"/>
              </w:rPr>
              <w:t>1批</w:t>
            </w:r>
          </w:p>
        </w:tc>
        <w:tc>
          <w:tcPr>
            <w:tcW w:w="2552" w:type="dxa"/>
            <w:noWrap w:val="0"/>
            <w:vAlign w:val="center"/>
          </w:tcPr>
          <w:p w14:paraId="7F56964D">
            <w:pPr>
              <w:widowControl/>
              <w:spacing w:line="300" w:lineRule="auto"/>
              <w:jc w:val="center"/>
              <w:rPr>
                <w:rFonts w:ascii="宋体" w:hAnsi="宋体"/>
                <w:kern w:val="0"/>
                <w:sz w:val="20"/>
                <w:szCs w:val="20"/>
                <w:lang w:val="en-GB"/>
              </w:rPr>
            </w:pPr>
          </w:p>
        </w:tc>
      </w:tr>
      <w:tr w14:paraId="5B2CF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noWrap w:val="0"/>
            <w:vAlign w:val="top"/>
          </w:tcPr>
          <w:p w14:paraId="2D2B82A4">
            <w:pPr>
              <w:widowControl/>
              <w:spacing w:line="300" w:lineRule="auto"/>
              <w:jc w:val="center"/>
              <w:rPr>
                <w:rFonts w:ascii="宋体" w:hAnsi="宋体"/>
                <w:kern w:val="0"/>
                <w:sz w:val="20"/>
                <w:szCs w:val="20"/>
                <w:lang w:val="en-GB"/>
              </w:rPr>
            </w:pPr>
            <w:r>
              <w:rPr>
                <w:rFonts w:ascii="宋体" w:hAnsi="宋体"/>
                <w:kern w:val="0"/>
                <w:sz w:val="20"/>
                <w:szCs w:val="20"/>
                <w:lang w:val="en-GB"/>
              </w:rPr>
              <w:t>8</w:t>
            </w:r>
          </w:p>
        </w:tc>
        <w:tc>
          <w:tcPr>
            <w:tcW w:w="1843" w:type="dxa"/>
            <w:noWrap w:val="0"/>
            <w:vAlign w:val="center"/>
          </w:tcPr>
          <w:p w14:paraId="0CDA6B86">
            <w:pPr>
              <w:widowControl/>
              <w:spacing w:line="300" w:lineRule="auto"/>
              <w:jc w:val="center"/>
              <w:rPr>
                <w:rFonts w:ascii="宋体" w:hAnsi="宋体"/>
                <w:kern w:val="0"/>
                <w:sz w:val="20"/>
                <w:szCs w:val="20"/>
                <w:lang w:val="en-GB"/>
              </w:rPr>
            </w:pPr>
            <w:r>
              <w:rPr>
                <w:rFonts w:ascii="宋体" w:hAnsi="宋体"/>
                <w:kern w:val="0"/>
                <w:sz w:val="20"/>
                <w:szCs w:val="20"/>
                <w:lang w:val="en-GB"/>
              </w:rPr>
              <w:t>水冷系统配件</w:t>
            </w:r>
          </w:p>
        </w:tc>
        <w:tc>
          <w:tcPr>
            <w:tcW w:w="2268" w:type="dxa"/>
            <w:noWrap w:val="0"/>
            <w:vAlign w:val="center"/>
          </w:tcPr>
          <w:p w14:paraId="1855DE03">
            <w:pPr>
              <w:widowControl/>
              <w:spacing w:line="300" w:lineRule="auto"/>
              <w:jc w:val="center"/>
              <w:rPr>
                <w:rFonts w:ascii="宋体" w:hAnsi="宋体"/>
                <w:kern w:val="0"/>
                <w:sz w:val="20"/>
                <w:szCs w:val="20"/>
                <w:lang w:val="en-GB"/>
              </w:rPr>
            </w:pPr>
            <w:r>
              <w:rPr>
                <w:rFonts w:ascii="宋体" w:hAnsi="宋体"/>
                <w:kern w:val="0"/>
                <w:sz w:val="20"/>
                <w:szCs w:val="20"/>
                <w:lang w:val="en-GB"/>
              </w:rPr>
              <w:t>/</w:t>
            </w:r>
          </w:p>
        </w:tc>
        <w:tc>
          <w:tcPr>
            <w:tcW w:w="850" w:type="dxa"/>
            <w:noWrap w:val="0"/>
            <w:vAlign w:val="center"/>
          </w:tcPr>
          <w:p w14:paraId="3D402C2B">
            <w:pPr>
              <w:widowControl/>
              <w:spacing w:line="300" w:lineRule="auto"/>
              <w:jc w:val="center"/>
              <w:rPr>
                <w:rFonts w:ascii="宋体" w:hAnsi="宋体"/>
                <w:kern w:val="0"/>
                <w:sz w:val="20"/>
                <w:szCs w:val="20"/>
                <w:lang w:val="en-GB"/>
              </w:rPr>
            </w:pPr>
            <w:r>
              <w:rPr>
                <w:rFonts w:ascii="宋体" w:hAnsi="宋体"/>
                <w:kern w:val="0"/>
                <w:sz w:val="20"/>
                <w:szCs w:val="20"/>
                <w:lang w:val="en-GB"/>
              </w:rPr>
              <w:t>1项</w:t>
            </w:r>
          </w:p>
        </w:tc>
        <w:tc>
          <w:tcPr>
            <w:tcW w:w="2552" w:type="dxa"/>
            <w:noWrap w:val="0"/>
            <w:vAlign w:val="center"/>
          </w:tcPr>
          <w:p w14:paraId="149DD32E">
            <w:pPr>
              <w:widowControl/>
              <w:spacing w:line="300" w:lineRule="auto"/>
              <w:jc w:val="center"/>
              <w:rPr>
                <w:rFonts w:ascii="宋体" w:hAnsi="宋体"/>
                <w:kern w:val="0"/>
                <w:sz w:val="20"/>
                <w:szCs w:val="20"/>
                <w:lang w:val="en-GB"/>
              </w:rPr>
            </w:pPr>
            <w:r>
              <w:rPr>
                <w:rFonts w:ascii="宋体" w:hAnsi="宋体"/>
                <w:kern w:val="0"/>
                <w:sz w:val="20"/>
                <w:szCs w:val="20"/>
                <w:lang w:val="en-GB"/>
              </w:rPr>
              <w:t>包含主水管、支路水管等</w:t>
            </w:r>
          </w:p>
        </w:tc>
      </w:tr>
      <w:tr w14:paraId="267F0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noWrap w:val="0"/>
            <w:vAlign w:val="top"/>
          </w:tcPr>
          <w:p w14:paraId="3D011037">
            <w:pPr>
              <w:widowControl/>
              <w:spacing w:line="300" w:lineRule="auto"/>
              <w:jc w:val="center"/>
              <w:rPr>
                <w:rFonts w:ascii="宋体" w:hAnsi="宋体"/>
                <w:kern w:val="0"/>
                <w:sz w:val="20"/>
                <w:szCs w:val="20"/>
                <w:lang w:val="en-GB"/>
              </w:rPr>
            </w:pPr>
            <w:r>
              <w:rPr>
                <w:rFonts w:ascii="宋体" w:hAnsi="宋体"/>
                <w:kern w:val="0"/>
                <w:sz w:val="20"/>
                <w:szCs w:val="20"/>
                <w:lang w:val="en-GB"/>
              </w:rPr>
              <w:t>9</w:t>
            </w:r>
          </w:p>
        </w:tc>
        <w:tc>
          <w:tcPr>
            <w:tcW w:w="1843" w:type="dxa"/>
            <w:noWrap w:val="0"/>
            <w:vAlign w:val="center"/>
          </w:tcPr>
          <w:p w14:paraId="59350464">
            <w:pPr>
              <w:widowControl/>
              <w:spacing w:line="300" w:lineRule="auto"/>
              <w:jc w:val="center"/>
              <w:rPr>
                <w:rFonts w:ascii="宋体" w:hAnsi="宋体"/>
                <w:kern w:val="0"/>
                <w:sz w:val="20"/>
                <w:szCs w:val="20"/>
                <w:lang w:val="en-GB"/>
              </w:rPr>
            </w:pPr>
            <w:r>
              <w:rPr>
                <w:rFonts w:ascii="宋体" w:hAnsi="宋体"/>
                <w:kern w:val="0"/>
                <w:sz w:val="20"/>
                <w:szCs w:val="20"/>
                <w:lang w:val="en-GB"/>
              </w:rPr>
              <w:t>晶闸管夹具</w:t>
            </w:r>
          </w:p>
        </w:tc>
        <w:tc>
          <w:tcPr>
            <w:tcW w:w="2268" w:type="dxa"/>
            <w:noWrap w:val="0"/>
            <w:vAlign w:val="center"/>
          </w:tcPr>
          <w:p w14:paraId="6D1E454B">
            <w:pPr>
              <w:widowControl/>
              <w:spacing w:line="300" w:lineRule="auto"/>
              <w:jc w:val="center"/>
              <w:rPr>
                <w:rFonts w:ascii="宋体" w:hAnsi="宋体"/>
                <w:kern w:val="0"/>
                <w:sz w:val="20"/>
                <w:szCs w:val="20"/>
                <w:lang w:val="en-GB"/>
              </w:rPr>
            </w:pPr>
            <w:r>
              <w:rPr>
                <w:rFonts w:ascii="宋体" w:hAnsi="宋体"/>
                <w:kern w:val="0"/>
                <w:sz w:val="20"/>
                <w:szCs w:val="20"/>
                <w:lang w:val="en-GB"/>
              </w:rPr>
              <w:t>/</w:t>
            </w:r>
          </w:p>
        </w:tc>
        <w:tc>
          <w:tcPr>
            <w:tcW w:w="850" w:type="dxa"/>
            <w:noWrap w:val="0"/>
            <w:vAlign w:val="center"/>
          </w:tcPr>
          <w:p w14:paraId="65AEC8D8">
            <w:pPr>
              <w:widowControl/>
              <w:spacing w:line="300" w:lineRule="auto"/>
              <w:jc w:val="center"/>
              <w:rPr>
                <w:rFonts w:ascii="宋体" w:hAnsi="宋体"/>
                <w:kern w:val="0"/>
                <w:sz w:val="20"/>
                <w:szCs w:val="20"/>
                <w:lang w:val="en-GB"/>
              </w:rPr>
            </w:pPr>
            <w:r>
              <w:rPr>
                <w:rFonts w:ascii="宋体" w:hAnsi="宋体"/>
                <w:kern w:val="0"/>
                <w:sz w:val="20"/>
                <w:szCs w:val="20"/>
                <w:lang w:val="en-GB"/>
              </w:rPr>
              <w:t>624组</w:t>
            </w:r>
          </w:p>
        </w:tc>
        <w:tc>
          <w:tcPr>
            <w:tcW w:w="2552" w:type="dxa"/>
            <w:noWrap w:val="0"/>
            <w:vAlign w:val="center"/>
          </w:tcPr>
          <w:p w14:paraId="512B944A">
            <w:pPr>
              <w:widowControl/>
              <w:spacing w:line="300" w:lineRule="auto"/>
              <w:jc w:val="center"/>
              <w:rPr>
                <w:rFonts w:ascii="宋体" w:hAnsi="宋体"/>
                <w:kern w:val="0"/>
                <w:sz w:val="20"/>
                <w:szCs w:val="20"/>
                <w:lang w:val="en-GB"/>
              </w:rPr>
            </w:pPr>
            <w:r>
              <w:rPr>
                <w:rFonts w:ascii="宋体" w:hAnsi="宋体"/>
                <w:kern w:val="0"/>
                <w:sz w:val="20"/>
                <w:szCs w:val="20"/>
                <w:lang w:val="en-GB"/>
              </w:rPr>
              <w:t>带135</w:t>
            </w:r>
            <w:r>
              <w:rPr>
                <w:rFonts w:hint="eastAsia" w:ascii="宋体" w:hAnsi="宋体"/>
                <w:kern w:val="0"/>
                <w:sz w:val="20"/>
                <w:szCs w:val="20"/>
                <w:lang w:val="en-GB"/>
              </w:rPr>
              <w:t>k</w:t>
            </w:r>
            <w:r>
              <w:rPr>
                <w:rFonts w:ascii="宋体" w:hAnsi="宋体"/>
                <w:kern w:val="0"/>
                <w:sz w:val="20"/>
                <w:szCs w:val="20"/>
                <w:lang w:val="en-GB"/>
              </w:rPr>
              <w:t>N压力指示</w:t>
            </w:r>
          </w:p>
        </w:tc>
      </w:tr>
    </w:tbl>
    <w:p w14:paraId="48113E5F">
      <w:pPr>
        <w:jc w:val="center"/>
      </w:pPr>
      <w:r>
        <w:rPr>
          <w:rFonts w:hint="eastAsia"/>
        </w:rPr>
        <w:t>表格3. I</w:t>
      </w:r>
      <w:r>
        <w:t>TER电源二期极向场变流器模块及外旁通</w:t>
      </w:r>
      <w:r>
        <w:rPr>
          <w:rFonts w:hint="eastAsia"/>
        </w:rPr>
        <w:t>备品备件清单</w:t>
      </w:r>
    </w:p>
    <w:tbl>
      <w:tblPr>
        <w:tblStyle w:val="4"/>
        <w:tblW w:w="82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843"/>
        <w:gridCol w:w="2268"/>
        <w:gridCol w:w="850"/>
        <w:gridCol w:w="2552"/>
      </w:tblGrid>
      <w:tr w14:paraId="05C0F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noWrap w:val="0"/>
            <w:vAlign w:val="top"/>
          </w:tcPr>
          <w:p w14:paraId="7AC34EFF">
            <w:pPr>
              <w:spacing w:line="300" w:lineRule="auto"/>
              <w:jc w:val="center"/>
              <w:rPr>
                <w:rFonts w:ascii="宋体" w:hAnsi="宋体"/>
                <w:b/>
                <w:sz w:val="22"/>
                <w:lang w:val="en-GB"/>
              </w:rPr>
            </w:pPr>
            <w:r>
              <w:rPr>
                <w:rFonts w:hint="eastAsia" w:ascii="宋体" w:hAnsi="宋体"/>
                <w:b/>
                <w:sz w:val="22"/>
                <w:lang w:val="en-GB"/>
              </w:rPr>
              <w:t>序号</w:t>
            </w:r>
          </w:p>
        </w:tc>
        <w:tc>
          <w:tcPr>
            <w:tcW w:w="1843" w:type="dxa"/>
            <w:noWrap w:val="0"/>
            <w:vAlign w:val="top"/>
          </w:tcPr>
          <w:p w14:paraId="571FA9A3">
            <w:pPr>
              <w:spacing w:line="300" w:lineRule="auto"/>
              <w:jc w:val="center"/>
              <w:rPr>
                <w:rFonts w:ascii="宋体" w:hAnsi="宋体"/>
                <w:b/>
                <w:sz w:val="22"/>
                <w:lang w:val="en-GB"/>
              </w:rPr>
            </w:pPr>
            <w:r>
              <w:rPr>
                <w:rFonts w:ascii="宋体" w:hAnsi="宋体"/>
                <w:b/>
                <w:sz w:val="22"/>
                <w:lang w:val="en-GB"/>
              </w:rPr>
              <w:t>名称</w:t>
            </w:r>
          </w:p>
        </w:tc>
        <w:tc>
          <w:tcPr>
            <w:tcW w:w="2268" w:type="dxa"/>
            <w:noWrap w:val="0"/>
            <w:vAlign w:val="top"/>
          </w:tcPr>
          <w:p w14:paraId="17559315">
            <w:pPr>
              <w:spacing w:line="300" w:lineRule="auto"/>
              <w:jc w:val="center"/>
              <w:rPr>
                <w:rFonts w:ascii="宋体" w:hAnsi="宋体"/>
                <w:b/>
                <w:sz w:val="22"/>
                <w:lang w:val="en-GB"/>
              </w:rPr>
            </w:pPr>
            <w:r>
              <w:rPr>
                <w:rFonts w:hint="eastAsia" w:ascii="宋体" w:hAnsi="宋体"/>
                <w:b/>
                <w:sz w:val="22"/>
                <w:lang w:val="en-GB"/>
              </w:rPr>
              <w:t>型号规格</w:t>
            </w:r>
          </w:p>
        </w:tc>
        <w:tc>
          <w:tcPr>
            <w:tcW w:w="850" w:type="dxa"/>
            <w:noWrap w:val="0"/>
            <w:vAlign w:val="top"/>
          </w:tcPr>
          <w:p w14:paraId="340FAC3F">
            <w:pPr>
              <w:spacing w:line="300" w:lineRule="auto"/>
              <w:jc w:val="center"/>
              <w:rPr>
                <w:rFonts w:ascii="宋体" w:hAnsi="宋体"/>
                <w:b/>
                <w:sz w:val="22"/>
                <w:lang w:val="en-GB"/>
              </w:rPr>
            </w:pPr>
            <w:r>
              <w:rPr>
                <w:rFonts w:ascii="宋体" w:hAnsi="宋体"/>
                <w:b/>
                <w:sz w:val="22"/>
                <w:lang w:val="en-GB"/>
              </w:rPr>
              <w:t>数量</w:t>
            </w:r>
          </w:p>
        </w:tc>
        <w:tc>
          <w:tcPr>
            <w:tcW w:w="2552" w:type="dxa"/>
            <w:noWrap w:val="0"/>
            <w:vAlign w:val="top"/>
          </w:tcPr>
          <w:p w14:paraId="0E116A05">
            <w:pPr>
              <w:spacing w:line="300" w:lineRule="auto"/>
              <w:jc w:val="center"/>
              <w:rPr>
                <w:rFonts w:ascii="宋体" w:hAnsi="宋体"/>
                <w:b/>
                <w:sz w:val="22"/>
                <w:lang w:val="en-GB"/>
              </w:rPr>
            </w:pPr>
            <w:r>
              <w:rPr>
                <w:rFonts w:hint="eastAsia" w:ascii="宋体" w:hAnsi="宋体"/>
                <w:b/>
                <w:sz w:val="22"/>
                <w:lang w:val="en-GB"/>
              </w:rPr>
              <w:t>备注</w:t>
            </w:r>
          </w:p>
        </w:tc>
      </w:tr>
      <w:tr w14:paraId="6EB68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noWrap w:val="0"/>
            <w:vAlign w:val="top"/>
          </w:tcPr>
          <w:p w14:paraId="7875B793">
            <w:pPr>
              <w:spacing w:line="300" w:lineRule="auto"/>
              <w:ind w:firstLine="200" w:firstLineChars="100"/>
              <w:rPr>
                <w:rFonts w:ascii="宋体" w:hAnsi="宋体"/>
                <w:sz w:val="20"/>
                <w:szCs w:val="20"/>
                <w:lang w:val="en-GB"/>
              </w:rPr>
            </w:pPr>
            <w:r>
              <w:rPr>
                <w:rFonts w:hint="eastAsia" w:ascii="宋体" w:hAnsi="宋体"/>
                <w:sz w:val="20"/>
                <w:szCs w:val="20"/>
                <w:lang w:val="en-GB"/>
              </w:rPr>
              <w:t>1</w:t>
            </w:r>
          </w:p>
        </w:tc>
        <w:tc>
          <w:tcPr>
            <w:tcW w:w="1843" w:type="dxa"/>
            <w:noWrap w:val="0"/>
            <w:vAlign w:val="center"/>
          </w:tcPr>
          <w:p w14:paraId="33F8A502">
            <w:pPr>
              <w:spacing w:line="300" w:lineRule="auto"/>
              <w:jc w:val="center"/>
              <w:rPr>
                <w:rFonts w:ascii="宋体" w:hAnsi="宋体"/>
                <w:sz w:val="20"/>
                <w:szCs w:val="20"/>
                <w:lang w:val="en-GB"/>
              </w:rPr>
            </w:pPr>
            <w:r>
              <w:rPr>
                <w:rFonts w:hint="eastAsia" w:ascii="宋体" w:hAnsi="宋体"/>
                <w:sz w:val="20"/>
                <w:szCs w:val="20"/>
                <w:lang w:val="en-GB"/>
              </w:rPr>
              <w:t>晶闸管</w:t>
            </w:r>
          </w:p>
        </w:tc>
        <w:tc>
          <w:tcPr>
            <w:tcW w:w="2268" w:type="dxa"/>
            <w:noWrap w:val="0"/>
            <w:vAlign w:val="center"/>
          </w:tcPr>
          <w:p w14:paraId="541F9C6B">
            <w:pPr>
              <w:spacing w:line="300" w:lineRule="auto"/>
              <w:jc w:val="center"/>
              <w:rPr>
                <w:rFonts w:ascii="宋体" w:hAnsi="宋体"/>
                <w:sz w:val="20"/>
                <w:szCs w:val="20"/>
                <w:lang w:val="en-GB"/>
              </w:rPr>
            </w:pPr>
            <w:r>
              <w:rPr>
                <w:rFonts w:hint="eastAsia"/>
              </w:rPr>
              <w:t>CSR KP</w:t>
            </w:r>
            <w:r>
              <w:rPr>
                <w:rFonts w:hint="eastAsia"/>
                <w:vertAlign w:val="subscript"/>
              </w:rPr>
              <w:t>D</w:t>
            </w:r>
            <w:r>
              <w:rPr>
                <w:rFonts w:hint="eastAsia"/>
              </w:rPr>
              <w:t>5000-52</w:t>
            </w:r>
          </w:p>
        </w:tc>
        <w:tc>
          <w:tcPr>
            <w:tcW w:w="850" w:type="dxa"/>
            <w:noWrap w:val="0"/>
            <w:vAlign w:val="center"/>
          </w:tcPr>
          <w:p w14:paraId="7781816B">
            <w:pPr>
              <w:spacing w:line="300" w:lineRule="auto"/>
              <w:jc w:val="center"/>
              <w:rPr>
                <w:rFonts w:ascii="宋体" w:hAnsi="宋体"/>
                <w:sz w:val="20"/>
                <w:szCs w:val="20"/>
                <w:lang w:val="en-GB"/>
              </w:rPr>
            </w:pPr>
            <w:r>
              <w:rPr>
                <w:rFonts w:hint="eastAsia" w:ascii="宋体" w:hAnsi="宋体"/>
                <w:sz w:val="20"/>
                <w:szCs w:val="20"/>
                <w:lang w:val="en-GB"/>
              </w:rPr>
              <w:t>63个</w:t>
            </w:r>
          </w:p>
        </w:tc>
        <w:tc>
          <w:tcPr>
            <w:tcW w:w="2552" w:type="dxa"/>
            <w:noWrap w:val="0"/>
            <w:vAlign w:val="center"/>
          </w:tcPr>
          <w:p w14:paraId="19BBA9BD">
            <w:pPr>
              <w:spacing w:line="300" w:lineRule="auto"/>
              <w:jc w:val="center"/>
              <w:rPr>
                <w:rFonts w:ascii="宋体" w:hAnsi="宋体"/>
                <w:sz w:val="20"/>
                <w:szCs w:val="20"/>
                <w:lang w:val="en-GB"/>
              </w:rPr>
            </w:pPr>
            <w:r>
              <w:rPr>
                <w:rFonts w:hint="eastAsia" w:ascii="宋体" w:hAnsi="宋体"/>
                <w:sz w:val="20"/>
                <w:szCs w:val="20"/>
                <w:lang w:val="en-GB"/>
              </w:rPr>
              <w:t>总数10%</w:t>
            </w:r>
          </w:p>
        </w:tc>
      </w:tr>
      <w:tr w14:paraId="4A07C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noWrap w:val="0"/>
            <w:vAlign w:val="top"/>
          </w:tcPr>
          <w:p w14:paraId="0F2269B4">
            <w:pPr>
              <w:spacing w:line="300" w:lineRule="auto"/>
              <w:ind w:firstLine="200" w:firstLineChars="100"/>
              <w:rPr>
                <w:rFonts w:ascii="宋体" w:hAnsi="宋体"/>
                <w:sz w:val="20"/>
                <w:szCs w:val="20"/>
                <w:lang w:val="en-GB"/>
              </w:rPr>
            </w:pPr>
            <w:r>
              <w:rPr>
                <w:rFonts w:hint="eastAsia" w:ascii="宋体" w:hAnsi="宋体"/>
                <w:sz w:val="20"/>
                <w:szCs w:val="20"/>
                <w:lang w:val="en-GB"/>
              </w:rPr>
              <w:t>2</w:t>
            </w:r>
          </w:p>
        </w:tc>
        <w:tc>
          <w:tcPr>
            <w:tcW w:w="1843" w:type="dxa"/>
            <w:noWrap w:val="0"/>
            <w:vAlign w:val="center"/>
          </w:tcPr>
          <w:p w14:paraId="2E762507">
            <w:pPr>
              <w:spacing w:line="300" w:lineRule="auto"/>
              <w:jc w:val="center"/>
              <w:rPr>
                <w:rFonts w:ascii="宋体" w:hAnsi="宋体"/>
                <w:sz w:val="20"/>
                <w:szCs w:val="20"/>
                <w:lang w:val="en-GB"/>
              </w:rPr>
            </w:pPr>
            <w:r>
              <w:rPr>
                <w:rFonts w:hint="eastAsia" w:ascii="宋体" w:hAnsi="宋体"/>
                <w:sz w:val="20"/>
                <w:szCs w:val="20"/>
                <w:lang w:val="en-GB"/>
              </w:rPr>
              <w:t>快速熔断器</w:t>
            </w:r>
          </w:p>
        </w:tc>
        <w:tc>
          <w:tcPr>
            <w:tcW w:w="2268" w:type="dxa"/>
            <w:noWrap w:val="0"/>
            <w:vAlign w:val="center"/>
          </w:tcPr>
          <w:p w14:paraId="75DE6796">
            <w:pPr>
              <w:spacing w:line="300" w:lineRule="auto"/>
              <w:jc w:val="center"/>
              <w:rPr>
                <w:rFonts w:ascii="宋体" w:hAnsi="宋体"/>
                <w:sz w:val="20"/>
                <w:szCs w:val="20"/>
                <w:lang w:val="en-GB"/>
              </w:rPr>
            </w:pPr>
            <w:r>
              <w:rPr>
                <w:rFonts w:hint="eastAsia"/>
              </w:rPr>
              <w:t>Ferraz 12 URD 284 PLNF 3000</w:t>
            </w:r>
          </w:p>
        </w:tc>
        <w:tc>
          <w:tcPr>
            <w:tcW w:w="850" w:type="dxa"/>
            <w:noWrap w:val="0"/>
            <w:vAlign w:val="center"/>
          </w:tcPr>
          <w:p w14:paraId="294D6B55">
            <w:pPr>
              <w:spacing w:line="300" w:lineRule="auto"/>
              <w:jc w:val="center"/>
              <w:rPr>
                <w:rFonts w:ascii="宋体" w:hAnsi="宋体"/>
                <w:sz w:val="20"/>
                <w:szCs w:val="20"/>
                <w:lang w:val="en-GB"/>
              </w:rPr>
            </w:pPr>
            <w:r>
              <w:rPr>
                <w:rFonts w:hint="eastAsia" w:ascii="宋体" w:hAnsi="宋体"/>
                <w:sz w:val="20"/>
                <w:szCs w:val="20"/>
                <w:lang w:val="en-GB"/>
              </w:rPr>
              <w:t>58个</w:t>
            </w:r>
          </w:p>
        </w:tc>
        <w:tc>
          <w:tcPr>
            <w:tcW w:w="2552" w:type="dxa"/>
            <w:noWrap w:val="0"/>
            <w:vAlign w:val="center"/>
          </w:tcPr>
          <w:p w14:paraId="1690B22B">
            <w:pPr>
              <w:spacing w:line="300" w:lineRule="auto"/>
              <w:jc w:val="center"/>
              <w:rPr>
                <w:rFonts w:ascii="宋体" w:hAnsi="宋体"/>
                <w:sz w:val="20"/>
                <w:szCs w:val="20"/>
                <w:lang w:val="en-GB"/>
              </w:rPr>
            </w:pPr>
            <w:r>
              <w:rPr>
                <w:rFonts w:hint="eastAsia" w:ascii="宋体" w:hAnsi="宋体"/>
                <w:sz w:val="20"/>
                <w:szCs w:val="20"/>
                <w:lang w:val="en-GB"/>
              </w:rPr>
              <w:t>总数10%</w:t>
            </w:r>
          </w:p>
        </w:tc>
      </w:tr>
      <w:tr w14:paraId="0F3E6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noWrap w:val="0"/>
            <w:vAlign w:val="top"/>
          </w:tcPr>
          <w:p w14:paraId="16771F76">
            <w:pPr>
              <w:spacing w:line="300" w:lineRule="auto"/>
              <w:jc w:val="center"/>
              <w:rPr>
                <w:rFonts w:ascii="宋体" w:hAnsi="宋体"/>
                <w:sz w:val="20"/>
                <w:szCs w:val="20"/>
                <w:lang w:val="en-GB"/>
              </w:rPr>
            </w:pPr>
            <w:r>
              <w:rPr>
                <w:rFonts w:hint="eastAsia" w:ascii="宋体" w:hAnsi="宋体"/>
                <w:sz w:val="20"/>
                <w:szCs w:val="20"/>
                <w:lang w:val="en-GB"/>
              </w:rPr>
              <w:t>3</w:t>
            </w:r>
          </w:p>
        </w:tc>
        <w:tc>
          <w:tcPr>
            <w:tcW w:w="1843" w:type="dxa"/>
            <w:noWrap w:val="0"/>
            <w:vAlign w:val="center"/>
          </w:tcPr>
          <w:p w14:paraId="6A0FA677">
            <w:pPr>
              <w:spacing w:line="300" w:lineRule="auto"/>
              <w:jc w:val="center"/>
              <w:rPr>
                <w:rFonts w:ascii="宋体" w:hAnsi="宋体"/>
                <w:sz w:val="20"/>
                <w:szCs w:val="20"/>
                <w:lang w:val="en-GB"/>
              </w:rPr>
            </w:pPr>
            <w:r>
              <w:rPr>
                <w:rFonts w:hint="eastAsia" w:ascii="宋体" w:hAnsi="宋体"/>
                <w:sz w:val="20"/>
                <w:szCs w:val="20"/>
                <w:lang w:val="en-GB"/>
              </w:rPr>
              <w:t>触发板</w:t>
            </w:r>
          </w:p>
        </w:tc>
        <w:tc>
          <w:tcPr>
            <w:tcW w:w="2268" w:type="dxa"/>
            <w:noWrap w:val="0"/>
            <w:vAlign w:val="center"/>
          </w:tcPr>
          <w:p w14:paraId="23553606">
            <w:pPr>
              <w:spacing w:line="300" w:lineRule="auto"/>
              <w:jc w:val="center"/>
              <w:rPr>
                <w:rFonts w:ascii="宋体" w:hAnsi="宋体"/>
                <w:sz w:val="20"/>
                <w:szCs w:val="20"/>
                <w:lang w:val="en-GB"/>
              </w:rPr>
            </w:pPr>
            <w:r>
              <w:rPr>
                <w:rFonts w:hint="eastAsia" w:ascii="宋体" w:hAnsi="宋体"/>
                <w:sz w:val="20"/>
                <w:szCs w:val="20"/>
                <w:lang w:val="en-GB"/>
              </w:rPr>
              <w:t>/</w:t>
            </w:r>
          </w:p>
        </w:tc>
        <w:tc>
          <w:tcPr>
            <w:tcW w:w="850" w:type="dxa"/>
            <w:noWrap w:val="0"/>
            <w:vAlign w:val="center"/>
          </w:tcPr>
          <w:p w14:paraId="4C76F065">
            <w:pPr>
              <w:spacing w:line="300" w:lineRule="auto"/>
              <w:jc w:val="center"/>
              <w:rPr>
                <w:rFonts w:ascii="宋体" w:hAnsi="宋体"/>
                <w:sz w:val="20"/>
                <w:szCs w:val="20"/>
                <w:lang w:val="en-GB"/>
              </w:rPr>
            </w:pPr>
            <w:r>
              <w:rPr>
                <w:rFonts w:hint="eastAsia" w:ascii="宋体" w:hAnsi="宋体"/>
                <w:sz w:val="20"/>
                <w:szCs w:val="20"/>
                <w:lang w:val="en-GB"/>
              </w:rPr>
              <w:t>32个</w:t>
            </w:r>
          </w:p>
        </w:tc>
        <w:tc>
          <w:tcPr>
            <w:tcW w:w="2552" w:type="dxa"/>
            <w:noWrap w:val="0"/>
            <w:vAlign w:val="center"/>
          </w:tcPr>
          <w:p w14:paraId="31D15804">
            <w:pPr>
              <w:spacing w:line="300" w:lineRule="auto"/>
              <w:jc w:val="center"/>
              <w:rPr>
                <w:rFonts w:ascii="宋体" w:hAnsi="宋体"/>
                <w:sz w:val="20"/>
                <w:szCs w:val="20"/>
                <w:lang w:val="en-GB"/>
              </w:rPr>
            </w:pPr>
            <w:r>
              <w:rPr>
                <w:rFonts w:hint="eastAsia" w:ascii="宋体" w:hAnsi="宋体"/>
                <w:sz w:val="20"/>
                <w:szCs w:val="20"/>
                <w:lang w:val="en-GB"/>
              </w:rPr>
              <w:t>总数10%</w:t>
            </w:r>
          </w:p>
        </w:tc>
      </w:tr>
      <w:tr w14:paraId="25AA3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noWrap w:val="0"/>
            <w:vAlign w:val="top"/>
          </w:tcPr>
          <w:p w14:paraId="132892BB">
            <w:pPr>
              <w:spacing w:line="300" w:lineRule="auto"/>
              <w:jc w:val="center"/>
              <w:rPr>
                <w:rFonts w:ascii="宋体" w:hAnsi="宋体"/>
                <w:sz w:val="20"/>
                <w:szCs w:val="20"/>
                <w:lang w:val="en-GB"/>
              </w:rPr>
            </w:pPr>
            <w:r>
              <w:rPr>
                <w:rFonts w:hint="eastAsia" w:ascii="宋体" w:hAnsi="宋体"/>
                <w:sz w:val="20"/>
                <w:szCs w:val="20"/>
                <w:lang w:val="en-GB"/>
              </w:rPr>
              <w:t>4</w:t>
            </w:r>
          </w:p>
        </w:tc>
        <w:tc>
          <w:tcPr>
            <w:tcW w:w="1843" w:type="dxa"/>
            <w:noWrap w:val="0"/>
            <w:vAlign w:val="center"/>
          </w:tcPr>
          <w:p w14:paraId="6F637258">
            <w:pPr>
              <w:spacing w:line="300" w:lineRule="auto"/>
              <w:jc w:val="center"/>
              <w:rPr>
                <w:rFonts w:ascii="宋体" w:hAnsi="宋体"/>
                <w:sz w:val="20"/>
                <w:szCs w:val="20"/>
                <w:lang w:val="en-GB"/>
              </w:rPr>
            </w:pPr>
            <w:r>
              <w:rPr>
                <w:rFonts w:hint="eastAsia" w:ascii="宋体" w:hAnsi="宋体"/>
                <w:sz w:val="20"/>
                <w:szCs w:val="20"/>
                <w:lang w:val="en-GB"/>
              </w:rPr>
              <w:t>晶闸管散热器</w:t>
            </w:r>
          </w:p>
        </w:tc>
        <w:tc>
          <w:tcPr>
            <w:tcW w:w="2268" w:type="dxa"/>
            <w:noWrap w:val="0"/>
            <w:vAlign w:val="center"/>
          </w:tcPr>
          <w:p w14:paraId="71FA98CD">
            <w:pPr>
              <w:spacing w:line="300" w:lineRule="auto"/>
              <w:jc w:val="center"/>
              <w:rPr>
                <w:rFonts w:ascii="宋体" w:hAnsi="宋体"/>
                <w:sz w:val="20"/>
                <w:szCs w:val="20"/>
                <w:lang w:val="en-GB"/>
              </w:rPr>
            </w:pPr>
            <w:r>
              <w:rPr>
                <w:rFonts w:hint="eastAsia" w:ascii="宋体" w:hAnsi="宋体"/>
                <w:sz w:val="20"/>
                <w:szCs w:val="20"/>
                <w:lang w:val="en-GB"/>
              </w:rPr>
              <w:t>/</w:t>
            </w:r>
          </w:p>
        </w:tc>
        <w:tc>
          <w:tcPr>
            <w:tcW w:w="850" w:type="dxa"/>
            <w:noWrap w:val="0"/>
            <w:vAlign w:val="center"/>
          </w:tcPr>
          <w:p w14:paraId="356E3355">
            <w:pPr>
              <w:spacing w:line="300" w:lineRule="auto"/>
              <w:jc w:val="center"/>
              <w:rPr>
                <w:rFonts w:ascii="宋体" w:hAnsi="宋体"/>
                <w:sz w:val="20"/>
                <w:szCs w:val="20"/>
                <w:lang w:val="en-GB"/>
              </w:rPr>
            </w:pPr>
            <w:r>
              <w:rPr>
                <w:rFonts w:hint="eastAsia" w:ascii="宋体" w:hAnsi="宋体"/>
                <w:sz w:val="20"/>
                <w:szCs w:val="20"/>
                <w:lang w:val="en-GB"/>
              </w:rPr>
              <w:t>10个</w:t>
            </w:r>
          </w:p>
        </w:tc>
        <w:tc>
          <w:tcPr>
            <w:tcW w:w="2552" w:type="dxa"/>
            <w:noWrap w:val="0"/>
            <w:vAlign w:val="center"/>
          </w:tcPr>
          <w:p w14:paraId="32C6A212">
            <w:pPr>
              <w:spacing w:line="300" w:lineRule="auto"/>
              <w:jc w:val="center"/>
              <w:rPr>
                <w:rFonts w:ascii="宋体" w:hAnsi="宋体"/>
                <w:sz w:val="20"/>
                <w:szCs w:val="20"/>
                <w:lang w:val="en-GB"/>
              </w:rPr>
            </w:pPr>
          </w:p>
        </w:tc>
      </w:tr>
      <w:tr w14:paraId="6F7D1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noWrap w:val="0"/>
            <w:vAlign w:val="top"/>
          </w:tcPr>
          <w:p w14:paraId="234944F7">
            <w:pPr>
              <w:spacing w:line="300" w:lineRule="auto"/>
              <w:jc w:val="center"/>
              <w:rPr>
                <w:rFonts w:ascii="宋体" w:hAnsi="宋体"/>
                <w:sz w:val="20"/>
                <w:szCs w:val="20"/>
                <w:lang w:val="en-GB"/>
              </w:rPr>
            </w:pPr>
            <w:r>
              <w:rPr>
                <w:rFonts w:hint="eastAsia" w:ascii="宋体" w:hAnsi="宋体"/>
                <w:sz w:val="20"/>
                <w:szCs w:val="20"/>
                <w:lang w:val="en-GB"/>
              </w:rPr>
              <w:t>5</w:t>
            </w:r>
          </w:p>
        </w:tc>
        <w:tc>
          <w:tcPr>
            <w:tcW w:w="1843" w:type="dxa"/>
            <w:noWrap w:val="0"/>
            <w:vAlign w:val="center"/>
          </w:tcPr>
          <w:p w14:paraId="65EEFDD0">
            <w:pPr>
              <w:spacing w:line="300" w:lineRule="auto"/>
              <w:jc w:val="center"/>
              <w:rPr>
                <w:rFonts w:ascii="宋体" w:hAnsi="宋体"/>
                <w:sz w:val="20"/>
                <w:szCs w:val="20"/>
                <w:lang w:val="en-GB"/>
              </w:rPr>
            </w:pPr>
            <w:r>
              <w:rPr>
                <w:rFonts w:hint="eastAsia" w:ascii="宋体" w:hAnsi="宋体"/>
                <w:sz w:val="20"/>
                <w:szCs w:val="20"/>
                <w:lang w:val="en-GB"/>
              </w:rPr>
              <w:t>水冷系统备件</w:t>
            </w:r>
          </w:p>
        </w:tc>
        <w:tc>
          <w:tcPr>
            <w:tcW w:w="2268" w:type="dxa"/>
            <w:noWrap w:val="0"/>
            <w:vAlign w:val="center"/>
          </w:tcPr>
          <w:p w14:paraId="30A0D5B1">
            <w:pPr>
              <w:spacing w:line="300" w:lineRule="auto"/>
              <w:jc w:val="center"/>
              <w:rPr>
                <w:rFonts w:ascii="宋体" w:hAnsi="宋体"/>
                <w:sz w:val="20"/>
                <w:szCs w:val="20"/>
                <w:lang w:val="en-GB"/>
              </w:rPr>
            </w:pPr>
            <w:r>
              <w:rPr>
                <w:rFonts w:hint="eastAsia" w:ascii="宋体" w:hAnsi="宋体"/>
                <w:sz w:val="20"/>
                <w:szCs w:val="20"/>
                <w:lang w:val="en-GB"/>
              </w:rPr>
              <w:t>/</w:t>
            </w:r>
          </w:p>
        </w:tc>
        <w:tc>
          <w:tcPr>
            <w:tcW w:w="850" w:type="dxa"/>
            <w:noWrap w:val="0"/>
            <w:vAlign w:val="center"/>
          </w:tcPr>
          <w:p w14:paraId="7ABA0DEE">
            <w:pPr>
              <w:spacing w:line="300" w:lineRule="auto"/>
              <w:jc w:val="center"/>
              <w:rPr>
                <w:rFonts w:ascii="宋体" w:hAnsi="宋体"/>
                <w:sz w:val="20"/>
                <w:szCs w:val="20"/>
                <w:lang w:val="en-GB"/>
              </w:rPr>
            </w:pPr>
            <w:r>
              <w:rPr>
                <w:rFonts w:hint="eastAsia" w:ascii="宋体" w:hAnsi="宋体"/>
                <w:sz w:val="20"/>
                <w:szCs w:val="20"/>
                <w:lang w:val="en-GB"/>
              </w:rPr>
              <w:t>20套</w:t>
            </w:r>
          </w:p>
        </w:tc>
        <w:tc>
          <w:tcPr>
            <w:tcW w:w="2552" w:type="dxa"/>
            <w:noWrap w:val="0"/>
            <w:vAlign w:val="center"/>
          </w:tcPr>
          <w:p w14:paraId="137E0094">
            <w:pPr>
              <w:spacing w:line="300" w:lineRule="auto"/>
              <w:jc w:val="center"/>
              <w:rPr>
                <w:rFonts w:ascii="宋体" w:hAnsi="宋体"/>
                <w:sz w:val="20"/>
                <w:szCs w:val="20"/>
                <w:lang w:val="en-GB"/>
              </w:rPr>
            </w:pPr>
            <w:r>
              <w:rPr>
                <w:rFonts w:hint="eastAsia" w:ascii="宋体" w:hAnsi="宋体"/>
                <w:sz w:val="20"/>
                <w:szCs w:val="20"/>
                <w:lang w:val="en-GB"/>
              </w:rPr>
              <w:t>包含支路水管、垫圈等</w:t>
            </w:r>
          </w:p>
        </w:tc>
      </w:tr>
      <w:tr w14:paraId="696D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noWrap w:val="0"/>
            <w:vAlign w:val="center"/>
          </w:tcPr>
          <w:p w14:paraId="0B02BD42">
            <w:pPr>
              <w:spacing w:line="300" w:lineRule="auto"/>
              <w:jc w:val="center"/>
              <w:rPr>
                <w:rFonts w:ascii="宋体" w:hAnsi="宋体"/>
                <w:sz w:val="20"/>
                <w:szCs w:val="20"/>
                <w:lang w:val="en-GB"/>
              </w:rPr>
            </w:pPr>
            <w:r>
              <w:rPr>
                <w:rFonts w:hint="eastAsia" w:ascii="宋体" w:hAnsi="宋体"/>
                <w:sz w:val="20"/>
                <w:szCs w:val="20"/>
                <w:lang w:val="en-GB"/>
              </w:rPr>
              <w:t>6</w:t>
            </w:r>
          </w:p>
        </w:tc>
        <w:tc>
          <w:tcPr>
            <w:tcW w:w="1843" w:type="dxa"/>
            <w:noWrap w:val="0"/>
            <w:vAlign w:val="center"/>
          </w:tcPr>
          <w:p w14:paraId="7F5F6B07">
            <w:pPr>
              <w:spacing w:line="300" w:lineRule="auto"/>
              <w:jc w:val="center"/>
              <w:rPr>
                <w:rFonts w:ascii="宋体" w:hAnsi="宋体"/>
                <w:sz w:val="20"/>
                <w:szCs w:val="20"/>
                <w:lang w:val="en-GB"/>
              </w:rPr>
            </w:pPr>
            <w:r>
              <w:rPr>
                <w:rFonts w:hint="eastAsia" w:ascii="宋体" w:hAnsi="宋体"/>
                <w:sz w:val="20"/>
                <w:szCs w:val="20"/>
                <w:lang w:val="en-GB"/>
              </w:rPr>
              <w:t>软连接</w:t>
            </w:r>
          </w:p>
        </w:tc>
        <w:tc>
          <w:tcPr>
            <w:tcW w:w="2268" w:type="dxa"/>
            <w:noWrap w:val="0"/>
            <w:vAlign w:val="center"/>
          </w:tcPr>
          <w:p w14:paraId="02CB6701">
            <w:pPr>
              <w:spacing w:line="300" w:lineRule="auto"/>
              <w:jc w:val="center"/>
              <w:rPr>
                <w:rFonts w:ascii="宋体" w:hAnsi="宋体"/>
                <w:sz w:val="20"/>
                <w:szCs w:val="20"/>
                <w:lang w:val="en-GB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  <w:lang w:val="en-GB"/>
              </w:rPr>
              <w:t>800*60*20mm</w:t>
            </w:r>
          </w:p>
        </w:tc>
        <w:tc>
          <w:tcPr>
            <w:tcW w:w="850" w:type="dxa"/>
            <w:noWrap w:val="0"/>
            <w:vAlign w:val="center"/>
          </w:tcPr>
          <w:p w14:paraId="21638B73">
            <w:pPr>
              <w:spacing w:line="300" w:lineRule="auto"/>
              <w:jc w:val="center"/>
              <w:rPr>
                <w:rFonts w:ascii="宋体" w:hAnsi="宋体"/>
                <w:sz w:val="20"/>
                <w:szCs w:val="20"/>
                <w:lang w:val="en-GB"/>
              </w:rPr>
            </w:pPr>
            <w:r>
              <w:rPr>
                <w:rFonts w:hint="eastAsia" w:ascii="宋体" w:hAnsi="宋体"/>
                <w:sz w:val="20"/>
                <w:szCs w:val="20"/>
                <w:lang w:val="en-GB"/>
              </w:rPr>
              <w:t>10根</w:t>
            </w:r>
          </w:p>
        </w:tc>
        <w:tc>
          <w:tcPr>
            <w:tcW w:w="2552" w:type="dxa"/>
            <w:noWrap w:val="0"/>
            <w:vAlign w:val="center"/>
          </w:tcPr>
          <w:p w14:paraId="1F2074C9">
            <w:pPr>
              <w:spacing w:line="300" w:lineRule="auto"/>
              <w:jc w:val="center"/>
              <w:rPr>
                <w:rFonts w:ascii="宋体" w:hAnsi="宋体"/>
                <w:sz w:val="20"/>
                <w:szCs w:val="20"/>
                <w:lang w:val="en-GB"/>
              </w:rPr>
            </w:pPr>
          </w:p>
        </w:tc>
      </w:tr>
      <w:tr w14:paraId="37587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noWrap w:val="0"/>
            <w:vAlign w:val="top"/>
          </w:tcPr>
          <w:p w14:paraId="4334CD08">
            <w:pPr>
              <w:spacing w:line="300" w:lineRule="auto"/>
              <w:jc w:val="center"/>
              <w:rPr>
                <w:rFonts w:ascii="宋体" w:hAnsi="宋体"/>
                <w:sz w:val="20"/>
                <w:szCs w:val="20"/>
                <w:lang w:val="en-GB"/>
              </w:rPr>
            </w:pPr>
            <w:r>
              <w:rPr>
                <w:rFonts w:hint="eastAsia" w:ascii="宋体" w:hAnsi="宋体"/>
                <w:sz w:val="20"/>
                <w:szCs w:val="20"/>
                <w:lang w:val="en-GB"/>
              </w:rPr>
              <w:t>7</w:t>
            </w:r>
          </w:p>
        </w:tc>
        <w:tc>
          <w:tcPr>
            <w:tcW w:w="1843" w:type="dxa"/>
            <w:noWrap w:val="0"/>
            <w:vAlign w:val="center"/>
          </w:tcPr>
          <w:p w14:paraId="7361774F">
            <w:pPr>
              <w:spacing w:line="300" w:lineRule="auto"/>
              <w:jc w:val="center"/>
              <w:rPr>
                <w:rFonts w:ascii="宋体" w:hAnsi="宋体"/>
                <w:sz w:val="20"/>
                <w:szCs w:val="20"/>
                <w:lang w:val="en-GB"/>
              </w:rPr>
            </w:pPr>
            <w:r>
              <w:rPr>
                <w:rFonts w:hint="eastAsia" w:ascii="宋体" w:hAnsi="宋体"/>
                <w:sz w:val="20"/>
                <w:szCs w:val="20"/>
                <w:lang w:val="en-GB"/>
              </w:rPr>
              <w:t>晶闸管夹具</w:t>
            </w:r>
          </w:p>
        </w:tc>
        <w:tc>
          <w:tcPr>
            <w:tcW w:w="2268" w:type="dxa"/>
            <w:noWrap w:val="0"/>
            <w:vAlign w:val="center"/>
          </w:tcPr>
          <w:p w14:paraId="73C3A2BC">
            <w:pPr>
              <w:spacing w:line="300" w:lineRule="auto"/>
              <w:jc w:val="center"/>
              <w:rPr>
                <w:rFonts w:ascii="宋体" w:hAnsi="宋体"/>
                <w:sz w:val="20"/>
                <w:szCs w:val="20"/>
                <w:lang w:val="en-GB"/>
              </w:rPr>
            </w:pPr>
            <w:r>
              <w:rPr>
                <w:rFonts w:hint="eastAsia" w:ascii="宋体" w:hAnsi="宋体"/>
                <w:sz w:val="20"/>
                <w:szCs w:val="20"/>
                <w:lang w:val="en-GB"/>
              </w:rPr>
              <w:t>/</w:t>
            </w:r>
          </w:p>
        </w:tc>
        <w:tc>
          <w:tcPr>
            <w:tcW w:w="850" w:type="dxa"/>
            <w:noWrap w:val="0"/>
            <w:vAlign w:val="center"/>
          </w:tcPr>
          <w:p w14:paraId="1054EA57">
            <w:pPr>
              <w:spacing w:line="300" w:lineRule="auto"/>
              <w:jc w:val="center"/>
              <w:rPr>
                <w:rFonts w:ascii="宋体" w:hAnsi="宋体"/>
                <w:sz w:val="20"/>
                <w:szCs w:val="20"/>
                <w:lang w:val="en-GB"/>
              </w:rPr>
            </w:pPr>
            <w:r>
              <w:rPr>
                <w:rFonts w:hint="eastAsia" w:ascii="宋体" w:hAnsi="宋体"/>
                <w:sz w:val="20"/>
                <w:szCs w:val="20"/>
                <w:lang w:val="en-GB"/>
              </w:rPr>
              <w:t>10组</w:t>
            </w:r>
          </w:p>
        </w:tc>
        <w:tc>
          <w:tcPr>
            <w:tcW w:w="2552" w:type="dxa"/>
            <w:noWrap w:val="0"/>
            <w:vAlign w:val="center"/>
          </w:tcPr>
          <w:p w14:paraId="36AC21FC">
            <w:pPr>
              <w:spacing w:line="300" w:lineRule="auto"/>
              <w:jc w:val="center"/>
              <w:rPr>
                <w:rFonts w:ascii="宋体" w:hAnsi="宋体"/>
                <w:sz w:val="20"/>
                <w:szCs w:val="20"/>
                <w:lang w:val="en-GB"/>
              </w:rPr>
            </w:pPr>
            <w:r>
              <w:rPr>
                <w:rFonts w:hint="eastAsia" w:ascii="宋体" w:hAnsi="宋体"/>
                <w:sz w:val="20"/>
                <w:szCs w:val="20"/>
                <w:lang w:val="en-GB"/>
              </w:rPr>
              <w:t>带135kN压力指示</w:t>
            </w:r>
          </w:p>
        </w:tc>
      </w:tr>
    </w:tbl>
    <w:p w14:paraId="46369E1A">
      <w:pPr>
        <w:widowControl/>
        <w:spacing w:line="360" w:lineRule="auto"/>
        <w:ind w:firstLine="420" w:firstLineChars="200"/>
        <w:rPr>
          <w:rFonts w:hint="eastAsia" w:ascii="宋体" w:hAnsi="宋体"/>
          <w:szCs w:val="21"/>
        </w:rPr>
      </w:pPr>
    </w:p>
    <w:p w14:paraId="3B5B519F">
      <w:pPr>
        <w:adjustRightInd w:val="0"/>
        <w:snapToGrid w:val="0"/>
        <w:spacing w:line="360" w:lineRule="auto"/>
        <w:ind w:firstLine="480" w:firstLineChars="200"/>
        <w:rPr>
          <w:bCs/>
          <w:sz w:val="24"/>
          <w:u w:val="single"/>
        </w:rPr>
      </w:pPr>
      <w:bookmarkStart w:id="1" w:name="_Toc532807472"/>
      <w:bookmarkStart w:id="2" w:name="_Toc257021215"/>
      <w:bookmarkStart w:id="3" w:name="_Toc509153917"/>
      <w:bookmarkStart w:id="4" w:name="_Toc30409514"/>
      <w:bookmarkStart w:id="5" w:name="_Toc12010788"/>
      <w:bookmarkStart w:id="6" w:name="_Toc12010815"/>
      <w:r>
        <w:rPr>
          <w:rFonts w:hint="eastAsia"/>
          <w:bCs/>
          <w:sz w:val="24"/>
          <w:u w:val="single"/>
        </w:rPr>
        <w:t>注：</w:t>
      </w:r>
      <w:r>
        <w:rPr>
          <w:rFonts w:hint="eastAsia"/>
          <w:bCs/>
          <w:iCs/>
          <w:u w:val="single"/>
        </w:rPr>
        <w:t>含变流器模块及外旁通的国内所有包装及运输、60人.天的海外支持（相关的费用已包含在投标报价中。如因乙方原因导致海外支持的时间延长，则因此产生的费用</w:t>
      </w:r>
      <w:r>
        <w:rPr>
          <w:bCs/>
          <w:iCs/>
          <w:u w:val="single"/>
        </w:rPr>
        <w:t>由招标人自行承担</w:t>
      </w:r>
      <w:r>
        <w:rPr>
          <w:rFonts w:hint="eastAsia"/>
          <w:bCs/>
          <w:iCs/>
          <w:u w:val="single"/>
        </w:rPr>
        <w:t>。）。</w:t>
      </w:r>
    </w:p>
    <w:p w14:paraId="57367AF3">
      <w:pPr>
        <w:adjustRightInd w:val="0"/>
        <w:snapToGrid w:val="0"/>
        <w:spacing w:line="360" w:lineRule="auto"/>
        <w:ind w:firstLine="482" w:firstLineChars="200"/>
        <w:rPr>
          <w:rFonts w:hint="eastAsia"/>
          <w:b/>
          <w:sz w:val="24"/>
        </w:rPr>
      </w:pPr>
    </w:p>
    <w:p w14:paraId="24F03C85">
      <w:pPr>
        <w:pStyle w:val="6"/>
        <w:spacing w:after="120" w:afterLines="50"/>
        <w:ind w:left="782" w:firstLine="0" w:firstLineChars="0"/>
        <w:jc w:val="center"/>
        <w:rPr>
          <w:rFonts w:hint="eastAsia"/>
        </w:rPr>
      </w:pPr>
      <w:r>
        <w:rPr>
          <w:rFonts w:hint="eastAsia"/>
        </w:rPr>
        <w:t>关键点计划表</w:t>
      </w: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"/>
        <w:gridCol w:w="7656"/>
      </w:tblGrid>
      <w:tr w14:paraId="2FB0E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420" w:type="pct"/>
            <w:noWrap w:val="0"/>
            <w:vAlign w:val="center"/>
          </w:tcPr>
          <w:p w14:paraId="522A6390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宋体" w:hAnsi="宋体"/>
                <w:b/>
                <w:bCs/>
                <w:i/>
                <w:iCs/>
                <w:kern w:val="24"/>
                <w:sz w:val="22"/>
                <w:szCs w:val="22"/>
              </w:rPr>
              <w:t>年度</w:t>
            </w:r>
          </w:p>
        </w:tc>
        <w:tc>
          <w:tcPr>
            <w:tcW w:w="4580" w:type="pct"/>
            <w:noWrap w:val="0"/>
            <w:vAlign w:val="center"/>
          </w:tcPr>
          <w:p w14:paraId="3A11C83E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宋体" w:hAnsi="宋体"/>
                <w:b/>
                <w:bCs/>
                <w:i/>
                <w:iCs/>
                <w:kern w:val="24"/>
                <w:sz w:val="22"/>
                <w:szCs w:val="22"/>
              </w:rPr>
              <w:t>进度计划关键点</w:t>
            </w:r>
          </w:p>
        </w:tc>
      </w:tr>
      <w:tr w14:paraId="4B561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420" w:type="pct"/>
            <w:noWrap w:val="0"/>
            <w:vAlign w:val="center"/>
          </w:tcPr>
          <w:p w14:paraId="4C430E2C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kern w:val="24"/>
                <w:sz w:val="20"/>
                <w:szCs w:val="20"/>
              </w:rPr>
              <w:t>2026</w:t>
            </w:r>
          </w:p>
        </w:tc>
        <w:tc>
          <w:tcPr>
            <w:tcW w:w="4580" w:type="pct"/>
            <w:noWrap w:val="0"/>
            <w:vAlign w:val="center"/>
          </w:tcPr>
          <w:p w14:paraId="3319CD3C">
            <w:pPr>
              <w:ind w:left="1" w:leftChars="-8" w:hanging="18" w:hangingChars="9"/>
              <w:jc w:val="left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hAnsi="宋体"/>
                <w:kern w:val="24"/>
                <w:sz w:val="20"/>
                <w:szCs w:val="20"/>
              </w:rPr>
              <w:t>合同生效</w:t>
            </w:r>
            <w:r>
              <w:rPr>
                <w:kern w:val="24"/>
                <w:sz w:val="20"/>
                <w:szCs w:val="20"/>
              </w:rPr>
              <w:t>15</w:t>
            </w:r>
            <w:r>
              <w:rPr>
                <w:rFonts w:hAnsi="宋体"/>
                <w:kern w:val="24"/>
                <w:sz w:val="20"/>
                <w:szCs w:val="20"/>
              </w:rPr>
              <w:t>个工作日内</w:t>
            </w:r>
          </w:p>
        </w:tc>
      </w:tr>
      <w:tr w14:paraId="16B60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420" w:type="pct"/>
            <w:noWrap w:val="0"/>
            <w:vAlign w:val="center"/>
          </w:tcPr>
          <w:p w14:paraId="0E438AF5">
            <w:pPr>
              <w:jc w:val="center"/>
              <w:rPr>
                <w:rFonts w:hint="eastAsia"/>
                <w:kern w:val="24"/>
                <w:sz w:val="20"/>
                <w:szCs w:val="20"/>
              </w:rPr>
            </w:pPr>
            <w:r>
              <w:rPr>
                <w:kern w:val="24"/>
                <w:sz w:val="20"/>
                <w:szCs w:val="20"/>
              </w:rPr>
              <w:t>2027.2</w:t>
            </w:r>
          </w:p>
          <w:p w14:paraId="56863C70">
            <w:pPr>
              <w:ind w:firstLine="475"/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4580" w:type="pct"/>
            <w:noWrap w:val="0"/>
            <w:vAlign w:val="center"/>
          </w:tcPr>
          <w:p w14:paraId="489FDEEC">
            <w:pPr>
              <w:ind w:left="1" w:leftChars="-8" w:hanging="18" w:hangingChars="9"/>
              <w:jc w:val="left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hAnsi="宋体"/>
                <w:kern w:val="24"/>
                <w:sz w:val="20"/>
                <w:szCs w:val="20"/>
              </w:rPr>
              <w:t>配合甲方及</w:t>
            </w:r>
            <w:r>
              <w:rPr>
                <w:kern w:val="24"/>
                <w:sz w:val="20"/>
                <w:szCs w:val="20"/>
              </w:rPr>
              <w:t>ITER</w:t>
            </w:r>
            <w:r>
              <w:rPr>
                <w:rFonts w:hAnsi="宋体"/>
                <w:kern w:val="24"/>
                <w:sz w:val="20"/>
                <w:szCs w:val="20"/>
              </w:rPr>
              <w:t>组织完成最终设计及生产设计，提交相关图纸及报告并批准（</w:t>
            </w:r>
            <w:r>
              <w:rPr>
                <w:kern w:val="24"/>
                <w:sz w:val="20"/>
                <w:szCs w:val="20"/>
              </w:rPr>
              <w:t>MRR</w:t>
            </w:r>
            <w:r>
              <w:rPr>
                <w:rFonts w:hAnsi="宋体"/>
                <w:kern w:val="24"/>
                <w:sz w:val="20"/>
                <w:szCs w:val="20"/>
              </w:rPr>
              <w:t>）</w:t>
            </w:r>
          </w:p>
        </w:tc>
      </w:tr>
      <w:tr w14:paraId="50A9E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420" w:type="pct"/>
            <w:noWrap w:val="0"/>
            <w:vAlign w:val="center"/>
          </w:tcPr>
          <w:p w14:paraId="0A92E423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kern w:val="24"/>
                <w:sz w:val="20"/>
                <w:szCs w:val="20"/>
              </w:rPr>
              <w:t>2027.7</w:t>
            </w:r>
          </w:p>
        </w:tc>
        <w:tc>
          <w:tcPr>
            <w:tcW w:w="4580" w:type="pct"/>
            <w:noWrap w:val="0"/>
            <w:vAlign w:val="center"/>
          </w:tcPr>
          <w:p w14:paraId="42AB98DA">
            <w:pPr>
              <w:ind w:left="1" w:leftChars="-8" w:hanging="18" w:hangingChars="9"/>
              <w:jc w:val="left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hAnsi="宋体"/>
                <w:kern w:val="24"/>
                <w:sz w:val="20"/>
                <w:szCs w:val="20"/>
              </w:rPr>
              <w:t>完成第一套变流器模块及外旁通生产及出厂试验，试验报告经</w:t>
            </w:r>
            <w:r>
              <w:rPr>
                <w:kern w:val="24"/>
                <w:sz w:val="20"/>
                <w:szCs w:val="20"/>
              </w:rPr>
              <w:t>ITER</w:t>
            </w:r>
            <w:r>
              <w:rPr>
                <w:rFonts w:hAnsi="宋体"/>
                <w:kern w:val="24"/>
                <w:sz w:val="20"/>
                <w:szCs w:val="20"/>
              </w:rPr>
              <w:t>批准后，将第一套变流器模块及外旁通运抵甲方</w:t>
            </w:r>
          </w:p>
        </w:tc>
      </w:tr>
      <w:tr w14:paraId="77F99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420" w:type="pct"/>
            <w:noWrap w:val="0"/>
            <w:vAlign w:val="center"/>
          </w:tcPr>
          <w:p w14:paraId="26F75A4C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kern w:val="24"/>
                <w:sz w:val="20"/>
                <w:szCs w:val="20"/>
              </w:rPr>
              <w:t>2027.9</w:t>
            </w:r>
          </w:p>
        </w:tc>
        <w:tc>
          <w:tcPr>
            <w:tcW w:w="4580" w:type="pct"/>
            <w:noWrap w:val="0"/>
            <w:vAlign w:val="center"/>
          </w:tcPr>
          <w:p w14:paraId="66C1FA3B">
            <w:pPr>
              <w:ind w:left="1" w:leftChars="-8" w:hanging="18" w:hangingChars="9"/>
              <w:jc w:val="left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hAnsi="宋体"/>
                <w:kern w:val="24"/>
                <w:sz w:val="20"/>
                <w:szCs w:val="20"/>
              </w:rPr>
              <w:t>配合甲方进行集成测试，测试结束后对第一套变流器模块及外旁通完成符合海运要求的包装</w:t>
            </w:r>
          </w:p>
        </w:tc>
      </w:tr>
      <w:tr w14:paraId="068E2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420" w:type="pct"/>
            <w:noWrap w:val="0"/>
            <w:vAlign w:val="center"/>
          </w:tcPr>
          <w:p w14:paraId="0022841C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kern w:val="24"/>
                <w:sz w:val="20"/>
                <w:szCs w:val="20"/>
              </w:rPr>
              <w:t>2027.9</w:t>
            </w:r>
          </w:p>
        </w:tc>
        <w:tc>
          <w:tcPr>
            <w:tcW w:w="4580" w:type="pct"/>
            <w:noWrap w:val="0"/>
            <w:vAlign w:val="center"/>
          </w:tcPr>
          <w:p w14:paraId="75C0EE60">
            <w:pPr>
              <w:ind w:left="1" w:leftChars="-8" w:hanging="18" w:hangingChars="9"/>
              <w:jc w:val="left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hAnsi="宋体"/>
                <w:kern w:val="24"/>
                <w:sz w:val="20"/>
                <w:szCs w:val="20"/>
              </w:rPr>
              <w:t>完成第二套变流器模块及外旁通及出厂试验，试验报告经</w:t>
            </w:r>
            <w:r>
              <w:rPr>
                <w:kern w:val="24"/>
                <w:sz w:val="20"/>
                <w:szCs w:val="20"/>
              </w:rPr>
              <w:t>ITER</w:t>
            </w:r>
            <w:r>
              <w:rPr>
                <w:rFonts w:hAnsi="宋体"/>
                <w:kern w:val="24"/>
                <w:sz w:val="20"/>
                <w:szCs w:val="20"/>
              </w:rPr>
              <w:t>批准后，将第二套变流器模块及外旁通运抵甲方</w:t>
            </w:r>
          </w:p>
        </w:tc>
      </w:tr>
      <w:tr w14:paraId="2091B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420" w:type="pct"/>
            <w:noWrap w:val="0"/>
            <w:vAlign w:val="center"/>
          </w:tcPr>
          <w:p w14:paraId="55AE76F7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kern w:val="24"/>
                <w:sz w:val="20"/>
                <w:szCs w:val="20"/>
              </w:rPr>
              <w:t>2027.11</w:t>
            </w:r>
          </w:p>
        </w:tc>
        <w:tc>
          <w:tcPr>
            <w:tcW w:w="4580" w:type="pct"/>
            <w:noWrap w:val="0"/>
            <w:vAlign w:val="center"/>
          </w:tcPr>
          <w:p w14:paraId="7A0918FB">
            <w:pPr>
              <w:ind w:left="1" w:leftChars="-8" w:hanging="18" w:hangingChars="9"/>
              <w:jc w:val="left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hAnsi="宋体"/>
                <w:kern w:val="24"/>
                <w:sz w:val="20"/>
                <w:szCs w:val="20"/>
              </w:rPr>
              <w:t>配合甲方进行集成测试，测试结束后对第二套变流器模块及外旁通完成符合海运要求的包装</w:t>
            </w:r>
          </w:p>
        </w:tc>
      </w:tr>
      <w:tr w14:paraId="1A556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420" w:type="pct"/>
            <w:noWrap w:val="0"/>
            <w:vAlign w:val="center"/>
          </w:tcPr>
          <w:p w14:paraId="0E7976F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kern w:val="24"/>
                <w:sz w:val="20"/>
                <w:szCs w:val="20"/>
              </w:rPr>
              <w:t>2030</w:t>
            </w:r>
          </w:p>
        </w:tc>
        <w:tc>
          <w:tcPr>
            <w:tcW w:w="4580" w:type="pct"/>
            <w:noWrap w:val="0"/>
            <w:vAlign w:val="center"/>
          </w:tcPr>
          <w:p w14:paraId="6A0BBA37">
            <w:pPr>
              <w:ind w:left="1" w:leftChars="-8" w:hanging="18" w:hangingChars="9"/>
              <w:jc w:val="left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hAnsi="宋体"/>
                <w:kern w:val="24"/>
                <w:sz w:val="20"/>
                <w:szCs w:val="20"/>
              </w:rPr>
              <w:t>法国现场验收试验得到</w:t>
            </w:r>
            <w:r>
              <w:rPr>
                <w:kern w:val="24"/>
                <w:sz w:val="20"/>
                <w:szCs w:val="20"/>
              </w:rPr>
              <w:t>ITER</w:t>
            </w:r>
            <w:r>
              <w:rPr>
                <w:rFonts w:hAnsi="宋体"/>
                <w:kern w:val="24"/>
                <w:sz w:val="20"/>
                <w:szCs w:val="20"/>
              </w:rPr>
              <w:t>国际组织的认可并通过</w:t>
            </w:r>
          </w:p>
        </w:tc>
      </w:tr>
    </w:tbl>
    <w:p w14:paraId="466C1E6A">
      <w:pPr>
        <w:rPr>
          <w:rFonts w:hint="eastAsia"/>
        </w:rPr>
      </w:pPr>
    </w:p>
    <w:p w14:paraId="4CB4863B">
      <w:pPr>
        <w:adjustRightInd w:val="0"/>
        <w:snapToGrid w:val="0"/>
        <w:spacing w:before="120" w:beforeLines="50" w:line="360" w:lineRule="auto"/>
        <w:rPr>
          <w:rFonts w:hint="eastAsia"/>
          <w:b/>
          <w:sz w:val="24"/>
        </w:rPr>
      </w:pPr>
      <w:r>
        <w:rPr>
          <w:b/>
          <w:sz w:val="24"/>
        </w:rPr>
        <w:t>2</w:t>
      </w:r>
      <w:r>
        <w:rPr>
          <w:rFonts w:hint="eastAsia"/>
          <w:b/>
          <w:sz w:val="24"/>
        </w:rPr>
        <w:t>、</w:t>
      </w:r>
      <w:r>
        <w:rPr>
          <w:b/>
          <w:sz w:val="24"/>
        </w:rPr>
        <w:t>工程技术要求</w:t>
      </w:r>
      <w:bookmarkEnd w:id="1"/>
      <w:bookmarkEnd w:id="2"/>
      <w:bookmarkEnd w:id="3"/>
      <w:bookmarkEnd w:id="4"/>
      <w:bookmarkEnd w:id="5"/>
      <w:bookmarkEnd w:id="6"/>
    </w:p>
    <w:p w14:paraId="477E501C">
      <w:pPr>
        <w:adjustRightInd w:val="0"/>
        <w:snapToGrid w:val="0"/>
        <w:spacing w:before="120" w:beforeLines="50" w:line="360" w:lineRule="auto"/>
        <w:rPr>
          <w:b/>
          <w:sz w:val="24"/>
        </w:rPr>
      </w:pPr>
      <w:r>
        <w:rPr>
          <w:b/>
          <w:sz w:val="24"/>
        </w:rPr>
        <w:t>2.</w:t>
      </w:r>
      <w:r>
        <w:rPr>
          <w:rFonts w:hint="eastAsia"/>
          <w:b/>
          <w:sz w:val="24"/>
        </w:rPr>
        <w:t>1、</w:t>
      </w:r>
      <w:r>
        <w:rPr>
          <w:b/>
          <w:sz w:val="24"/>
        </w:rPr>
        <w:t>设备的主要用途及功能</w:t>
      </w:r>
    </w:p>
    <w:p w14:paraId="19D9F238">
      <w:pPr>
        <w:spacing w:line="276" w:lineRule="auto"/>
        <w:ind w:firstLine="480"/>
        <w:rPr>
          <w:rFonts w:ascii="宋体" w:hAnsi="宋体"/>
          <w:lang w:bidi="en-US"/>
        </w:rPr>
      </w:pPr>
      <w:r>
        <w:rPr>
          <w:rFonts w:ascii="宋体" w:hAnsi="宋体"/>
          <w:lang w:bidi="en-US"/>
        </w:rPr>
        <w:t>极向场变流器模块作为PF电源系统的核心关键组成部分，为ITER极向场超导线圈提供可控的电流输出，保障等离子体稳定约束；同时具备完善的故障抑制与保护机制，可在异常工况下快速调整输出，避免装置核心部件受损，是ITER实现安全磁约束聚变反应的关键电源核心单元。外旁通作为极向场变流器单元的关键配套部件，故障状态下为负载电流提供续流回路，避免超导磁体和变流器模块因过流、过压发生损坏</w:t>
      </w:r>
      <w:r>
        <w:rPr>
          <w:rFonts w:hint="eastAsia" w:ascii="宋体" w:hAnsi="宋体"/>
          <w:lang w:bidi="en-US"/>
        </w:rPr>
        <w:t>，将用于ITER国际热核聚变极向场线圈(PF)使用，使用场地位于距离法国南部马赛市100公里左右的ITER国际组织总部卡得拉舍小镇。</w:t>
      </w:r>
    </w:p>
    <w:p w14:paraId="43A226C4">
      <w:pPr>
        <w:pStyle w:val="3"/>
        <w:rPr>
          <w:rFonts w:hint="eastAsia"/>
        </w:rPr>
      </w:pPr>
    </w:p>
    <w:p w14:paraId="44093EAB">
      <w:pPr>
        <w:adjustRightInd w:val="0"/>
        <w:snapToGrid w:val="0"/>
        <w:spacing w:before="120" w:beforeLines="50" w:line="360" w:lineRule="auto"/>
        <w:rPr>
          <w:rFonts w:hint="eastAsia"/>
          <w:b/>
          <w:sz w:val="24"/>
        </w:rPr>
      </w:pPr>
      <w:r>
        <w:rPr>
          <w:b/>
          <w:sz w:val="24"/>
        </w:rPr>
        <w:t>2.</w:t>
      </w:r>
      <w:r>
        <w:rPr>
          <w:rFonts w:hint="eastAsia"/>
          <w:b/>
          <w:sz w:val="24"/>
        </w:rPr>
        <w:t xml:space="preserve">2、 </w:t>
      </w:r>
      <w:r>
        <w:rPr>
          <w:b/>
          <w:sz w:val="24"/>
        </w:rPr>
        <w:t>工作条件</w:t>
      </w:r>
    </w:p>
    <w:p w14:paraId="0162D0A5">
      <w:pPr>
        <w:adjustRightInd w:val="0"/>
        <w:snapToGrid w:val="0"/>
        <w:spacing w:before="120" w:beforeLines="50" w:line="360" w:lineRule="auto"/>
        <w:rPr>
          <w:b/>
          <w:sz w:val="24"/>
        </w:rPr>
      </w:pPr>
      <w:r>
        <w:rPr>
          <w:b/>
          <w:sz w:val="24"/>
        </w:rPr>
        <w:t>2.</w:t>
      </w:r>
      <w:r>
        <w:rPr>
          <w:rFonts w:hint="eastAsia"/>
          <w:b/>
          <w:sz w:val="24"/>
        </w:rPr>
        <w:t>3、</w:t>
      </w:r>
      <w:r>
        <w:rPr>
          <w:b/>
          <w:sz w:val="24"/>
        </w:rPr>
        <w:t xml:space="preserve"> 技术性能指标要求</w:t>
      </w:r>
    </w:p>
    <w:p w14:paraId="2C71ED6B">
      <w:pPr>
        <w:pStyle w:val="6"/>
        <w:widowControl/>
        <w:numPr>
          <w:ilvl w:val="0"/>
          <w:numId w:val="1"/>
        </w:numPr>
        <w:spacing w:line="440" w:lineRule="exact"/>
        <w:ind w:firstLineChars="0"/>
        <w:jc w:val="left"/>
        <w:rPr>
          <w:b/>
          <w:bCs/>
          <w:sz w:val="28"/>
          <w:szCs w:val="28"/>
        </w:rPr>
      </w:pPr>
      <w:r>
        <w:tab/>
      </w:r>
      <w:r>
        <w:rPr>
          <w:rFonts w:hint="eastAsia"/>
          <w:b/>
          <w:bCs/>
          <w:sz w:val="28"/>
          <w:szCs w:val="28"/>
        </w:rPr>
        <w:t>变流器模块及外旁通主要技术参数</w:t>
      </w:r>
    </w:p>
    <w:p w14:paraId="29FC7E23">
      <w:pPr>
        <w:pStyle w:val="6"/>
        <w:widowControl/>
        <w:numPr>
          <w:ilvl w:val="1"/>
          <w:numId w:val="1"/>
        </w:numPr>
        <w:spacing w:line="440" w:lineRule="exact"/>
        <w:ind w:left="567" w:firstLineChars="0"/>
        <w:jc w:val="left"/>
        <w:rPr>
          <w:b/>
          <w:bCs/>
        </w:rPr>
      </w:pPr>
      <w:r>
        <w:rPr>
          <w:rFonts w:hint="eastAsia"/>
          <w:b/>
          <w:bCs/>
        </w:rPr>
        <w:t>变流器模块主要技术参数</w:t>
      </w:r>
    </w:p>
    <w:p w14:paraId="265FA4FB">
      <w:pPr>
        <w:ind w:firstLine="174" w:firstLineChars="83"/>
      </w:pPr>
      <w:r>
        <w:rPr>
          <w:rFonts w:hint="eastAsia"/>
        </w:rPr>
        <w:t>额定电流： 55 kA；</w:t>
      </w:r>
    </w:p>
    <w:p w14:paraId="5A895293">
      <w:pPr>
        <w:ind w:firstLine="174" w:firstLineChars="83"/>
      </w:pPr>
      <w:r>
        <w:rPr>
          <w:rFonts w:hint="eastAsia"/>
        </w:rPr>
        <w:t>单个变流桥额定电流：27.5 kA；</w:t>
      </w:r>
    </w:p>
    <w:p w14:paraId="467A541D">
      <w:pPr>
        <w:ind w:firstLine="210" w:firstLineChars="100"/>
      </w:pPr>
      <w:r>
        <w:rPr>
          <w:rFonts w:hint="eastAsia"/>
        </w:rPr>
        <w:t>额定空载变流器模块主要技术参数</w:t>
      </w:r>
    </w:p>
    <w:p w14:paraId="30A9AEF3">
      <w:pPr>
        <w:ind w:firstLine="174" w:firstLineChars="83"/>
      </w:pPr>
      <w:r>
        <w:rPr>
          <w:rFonts w:hint="eastAsia"/>
        </w:rPr>
        <w:t>电压：1.42 kV；</w:t>
      </w:r>
    </w:p>
    <w:p w14:paraId="7B22E5AE">
      <w:pPr>
        <w:ind w:firstLine="174" w:firstLineChars="83"/>
      </w:pPr>
      <w:r>
        <w:rPr>
          <w:rFonts w:hint="eastAsia"/>
        </w:rPr>
        <w:t>运行方式（2象限或4象限）：4象限；</w:t>
      </w:r>
    </w:p>
    <w:p w14:paraId="3C708837">
      <w:pPr>
        <w:ind w:firstLine="174" w:firstLineChars="83"/>
      </w:pPr>
      <w:r>
        <w:rPr>
          <w:rFonts w:hint="eastAsia"/>
        </w:rPr>
        <w:t>并联脉波数：12；</w:t>
      </w:r>
    </w:p>
    <w:p w14:paraId="4C6BE81C">
      <w:pPr>
        <w:ind w:firstLine="174" w:firstLineChars="83"/>
      </w:pPr>
      <w:r>
        <w:rPr>
          <w:rFonts w:hint="eastAsia"/>
        </w:rPr>
        <w:t>变流器模块主回路（含水路）对地绝缘等级：12 kV；</w:t>
      </w:r>
    </w:p>
    <w:p w14:paraId="6347E3CD">
      <w:pPr>
        <w:ind w:firstLine="174" w:firstLineChars="83"/>
      </w:pPr>
      <w:r>
        <w:rPr>
          <w:rFonts w:hint="eastAsia"/>
        </w:rPr>
        <w:t>推荐晶闸管型号： CSR KPD5000-52；</w:t>
      </w:r>
    </w:p>
    <w:p w14:paraId="02A43682">
      <w:r>
        <w:rPr>
          <w:rFonts w:hint="eastAsia"/>
        </w:rPr>
        <w:t>所有晶闸管导通压降偏差（</w:t>
      </w:r>
      <w:r>
        <w:rPr>
          <w:position w:val="-10"/>
        </w:rPr>
        <w:object>
          <v:shape id="_x0000_i1025" o:spt="75" type="#_x0000_t75" style="height:17.75pt;width:124.1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Equation.DSMT4" ShapeID="_x0000_i1025" DrawAspect="Content" ObjectID="_1468075725" r:id="rId4">
            <o:LockedField>false</o:LockedField>
          </o:OLEObject>
        </w:object>
      </w:r>
      <w:r>
        <w:rPr>
          <w:rFonts w:hint="eastAsia"/>
        </w:rPr>
        <w:t>）：≤0.05 V；</w:t>
      </w:r>
    </w:p>
    <w:p w14:paraId="35D5A44F">
      <w:r>
        <w:rPr>
          <w:rFonts w:hint="eastAsia"/>
        </w:rPr>
        <w:t>晶闸管并联数目：12；</w:t>
      </w:r>
    </w:p>
    <w:p w14:paraId="03C2EB23">
      <w:r>
        <w:rPr>
          <w:rFonts w:hint="eastAsia"/>
        </w:rPr>
        <w:t>推荐快速熔断器型号： Ferraz 12 URD 284 PLNF 3000；</w:t>
      </w:r>
    </w:p>
    <w:p w14:paraId="4BB4DEBA">
      <w:pPr>
        <w:rPr>
          <w:rFonts w:hint="eastAsia"/>
        </w:rPr>
      </w:pPr>
      <w:r>
        <w:rPr>
          <w:rFonts w:hint="eastAsia"/>
        </w:rPr>
        <w:t>快速熔断器分断能力：≥230</w:t>
      </w:r>
      <w:r>
        <w:t xml:space="preserve"> </w:t>
      </w:r>
      <w:r>
        <w:rPr>
          <w:rFonts w:hint="eastAsia"/>
        </w:rPr>
        <w:t>kA；</w:t>
      </w:r>
    </w:p>
    <w:p w14:paraId="68729631">
      <w:r>
        <w:rPr>
          <w:rFonts w:hint="eastAsia"/>
        </w:rPr>
        <w:t xml:space="preserve">桥臂并联支路电流均流系数：≥ 0.8；    </w:t>
      </w:r>
    </w:p>
    <w:p w14:paraId="3DA91B16">
      <w:r>
        <w:rPr>
          <w:rFonts w:hint="eastAsia"/>
        </w:rPr>
        <w:t>单个变流器承受短路电流热稳定冲击能力：175 kA/0.1 s，桥臂所有元件及结构都不应损坏；单个变流器承受短路电流动稳定冲击能力：350 kA/0.1 s，变流器结构不发生损坏、变形和损坏；</w:t>
      </w:r>
    </w:p>
    <w:p w14:paraId="4A568FED">
      <w:r>
        <w:rPr>
          <w:rFonts w:hint="eastAsia"/>
        </w:rPr>
        <w:t>单个变流器额定功率损耗：≤300 kW；</w:t>
      </w:r>
    </w:p>
    <w:p w14:paraId="0B409403">
      <w:r>
        <w:rPr>
          <w:rFonts w:hint="eastAsia"/>
        </w:rPr>
        <w:t>单个变流器效率（%）：≥ 99%；</w:t>
      </w:r>
    </w:p>
    <w:p w14:paraId="3291D33B">
      <w:r>
        <w:rPr>
          <w:rFonts w:hint="eastAsia"/>
        </w:rPr>
        <w:t>冷却介质：去离子水；</w:t>
      </w:r>
    </w:p>
    <w:p w14:paraId="5E252F9B">
      <w:r>
        <w:rPr>
          <w:rFonts w:hint="eastAsia"/>
        </w:rPr>
        <w:t>冷却水流量：≤ 32 ton/h；</w:t>
      </w:r>
    </w:p>
    <w:p w14:paraId="52F4DDD2">
      <w:r>
        <w:rPr>
          <w:rFonts w:hint="eastAsia"/>
        </w:rPr>
        <w:t>总进出水口压差：≤ 0.3 MPa (最大进口水压为：0.5 MPa)；</w:t>
      </w:r>
    </w:p>
    <w:p w14:paraId="49B129D8">
      <w:r>
        <w:rPr>
          <w:rFonts w:hint="eastAsia"/>
        </w:rPr>
        <w:t>总进出水口温升(进口水温为31℃情况下)≤ 10 K；</w:t>
      </w:r>
    </w:p>
    <w:p w14:paraId="4E059234">
      <w:r>
        <w:rPr>
          <w:rFonts w:hint="eastAsia"/>
        </w:rPr>
        <w:t>交流进线方式：下部单侧，需考虑和整流变压器出线排之间的软连接口；</w:t>
      </w:r>
    </w:p>
    <w:p w14:paraId="2875F3D8">
      <w:r>
        <w:rPr>
          <w:rFonts w:hint="eastAsia"/>
        </w:rPr>
        <w:t>直流出线方式：上端出线，需考虑与直流传输母线连接；</w:t>
      </w:r>
    </w:p>
    <w:p w14:paraId="3787A8F2">
      <w:r>
        <w:rPr>
          <w:rFonts w:hint="eastAsia"/>
        </w:rPr>
        <w:t>柜体支撑和导体：铝合金和环氧树脂；</w:t>
      </w:r>
    </w:p>
    <w:p w14:paraId="2B549668">
      <w:r>
        <w:rPr>
          <w:rFonts w:hint="eastAsia"/>
        </w:rPr>
        <w:t>总安装空间：≤7.5 m×4.5 m×3.7 m；</w:t>
      </w:r>
    </w:p>
    <w:p w14:paraId="6491207D">
      <w:r>
        <w:rPr>
          <w:rFonts w:hint="eastAsia"/>
        </w:rPr>
        <w:t>使用寿命：20年；</w:t>
      </w:r>
    </w:p>
    <w:p w14:paraId="6AF063DC">
      <w:r>
        <w:rPr>
          <w:rFonts w:hint="eastAsia"/>
        </w:rPr>
        <w:t>安装环境：室内。</w:t>
      </w:r>
    </w:p>
    <w:p w14:paraId="02814EB5"/>
    <w:p w14:paraId="4150323D">
      <w:pPr>
        <w:pStyle w:val="6"/>
        <w:widowControl/>
        <w:numPr>
          <w:ilvl w:val="1"/>
          <w:numId w:val="1"/>
        </w:numPr>
        <w:spacing w:line="440" w:lineRule="exact"/>
        <w:ind w:left="567" w:firstLineChars="0"/>
        <w:jc w:val="left"/>
        <w:rPr>
          <w:b/>
          <w:bCs/>
        </w:rPr>
      </w:pPr>
      <w:r>
        <w:rPr>
          <w:rFonts w:hint="eastAsia"/>
          <w:b/>
          <w:bCs/>
        </w:rPr>
        <w:t>外旁通主要技术参数</w:t>
      </w:r>
    </w:p>
    <w:p w14:paraId="6E00CFBB">
      <w:r>
        <w:rPr>
          <w:rFonts w:hint="eastAsia"/>
        </w:rPr>
        <w:t>运行频率：直流；</w:t>
      </w:r>
    </w:p>
    <w:p w14:paraId="18CE5E1A">
      <w:r>
        <w:rPr>
          <w:rFonts w:hint="eastAsia"/>
        </w:rPr>
        <w:t>额定空载电压（直流）：1.42 kV；</w:t>
      </w:r>
    </w:p>
    <w:p w14:paraId="47131119">
      <w:r>
        <w:rPr>
          <w:rFonts w:hint="eastAsia"/>
        </w:rPr>
        <w:t>脉冲额定运行电流（直流）及其运行时间：55 kA/1 s；</w:t>
      </w:r>
    </w:p>
    <w:p w14:paraId="56044B6A">
      <w:r>
        <w:rPr>
          <w:rFonts w:hint="eastAsia"/>
        </w:rPr>
        <w:t>最大承受冲击电流及其耐受时间：350 kA/0.1 s；</w:t>
      </w:r>
    </w:p>
    <w:p w14:paraId="04E0FE09">
      <w:r>
        <w:rPr>
          <w:rFonts w:hint="eastAsia"/>
        </w:rPr>
        <w:t>绝缘电压等级：12 kV；</w:t>
      </w:r>
    </w:p>
    <w:p w14:paraId="4C54E2A6">
      <w:r>
        <w:rPr>
          <w:rFonts w:hint="eastAsia"/>
        </w:rPr>
        <w:t>推荐晶闸管型号： CSR KPD5000-52；</w:t>
      </w:r>
    </w:p>
    <w:p w14:paraId="6D2CE339">
      <w:r>
        <w:rPr>
          <w:rFonts w:hint="eastAsia"/>
        </w:rPr>
        <w:t>所有晶闸管导通压降偏差（</w:t>
      </w:r>
      <w:r>
        <w:rPr>
          <w:position w:val="-10"/>
        </w:rPr>
        <w:object>
          <v:shape id="_x0000_i1026" o:spt="75" type="#_x0000_t75" style="height:17.75pt;width:124.1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Equation.DSMT4" ShapeID="_x0000_i1026" DrawAspect="Content" ObjectID="_1468075726" r:id="rId6">
            <o:LockedField>false</o:LockedField>
          </o:OLEObject>
        </w:object>
      </w:r>
      <w:r>
        <w:rPr>
          <w:rFonts w:hint="eastAsia"/>
        </w:rPr>
        <w:t>）：≤0.05 V；</w:t>
      </w:r>
    </w:p>
    <w:p w14:paraId="22BBB2D7">
      <w:r>
        <w:rPr>
          <w:rFonts w:hint="eastAsia"/>
        </w:rPr>
        <w:t>并联晶闸管均流系数：≥0.8；</w:t>
      </w:r>
    </w:p>
    <w:p w14:paraId="51144A4D">
      <w:r>
        <w:rPr>
          <w:rFonts w:hint="eastAsia"/>
        </w:rPr>
        <w:t>支路并联数目：12；</w:t>
      </w:r>
    </w:p>
    <w:p w14:paraId="0EE2C9F9">
      <w:r>
        <w:rPr>
          <w:rFonts w:hint="eastAsia"/>
        </w:rPr>
        <w:t>并联支路导体材料：不锈钢叠片；</w:t>
      </w:r>
    </w:p>
    <w:p w14:paraId="1587616B">
      <w:r>
        <w:rPr>
          <w:rFonts w:hint="eastAsia"/>
        </w:rPr>
        <w:t>桥臂汇流排及其它导体：铝合金；</w:t>
      </w:r>
    </w:p>
    <w:p w14:paraId="2C9710D6">
      <w:r>
        <w:rPr>
          <w:rFonts w:hint="eastAsia"/>
        </w:rPr>
        <w:t>结构支撑材料：铝合金和环氧树脂；</w:t>
      </w:r>
    </w:p>
    <w:p w14:paraId="4159DCD7">
      <w:r>
        <w:rPr>
          <w:rFonts w:hint="eastAsia"/>
        </w:rPr>
        <w:t>冷却方式及冷却介质：去离子水；</w:t>
      </w:r>
    </w:p>
    <w:p w14:paraId="2C1B326C">
      <w:r>
        <w:rPr>
          <w:rFonts w:hint="eastAsia"/>
        </w:rPr>
        <w:t>进出口水温升（进口水温为31 ℃时）：≤10 K；</w:t>
      </w:r>
    </w:p>
    <w:p w14:paraId="54C562B8">
      <w:r>
        <w:rPr>
          <w:rFonts w:hint="eastAsia"/>
        </w:rPr>
        <w:t>总进出水口压差：≤ 0.3 MPa (最大进口水压为：0.5 MPa)；</w:t>
      </w:r>
    </w:p>
    <w:p w14:paraId="605A0020">
      <w:pPr>
        <w:rPr>
          <w:lang w:val="fr-FR"/>
        </w:rPr>
      </w:pPr>
      <w:r>
        <w:rPr>
          <w:rFonts w:hint="eastAsia"/>
        </w:rPr>
        <w:t>所需水流量</w:t>
      </w:r>
      <w:r>
        <w:rPr>
          <w:rFonts w:hint="eastAsia"/>
          <w:lang w:val="fr-FR"/>
        </w:rPr>
        <w:t>：1 ton/h；</w:t>
      </w:r>
    </w:p>
    <w:p w14:paraId="3D216600">
      <w:r>
        <w:rPr>
          <w:rFonts w:hint="eastAsia"/>
        </w:rPr>
        <w:t>进出线方式：上进上出；</w:t>
      </w:r>
    </w:p>
    <w:p w14:paraId="0A442279">
      <w:r>
        <w:rPr>
          <w:rFonts w:hint="eastAsia"/>
        </w:rPr>
        <w:t>使用寿命：20年。</w:t>
      </w:r>
    </w:p>
    <w:p w14:paraId="39941CAE">
      <w:bookmarkStart w:id="7" w:name="_GoBack"/>
      <w:bookmarkEnd w:id="7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4810664"/>
    <w:multiLevelType w:val="multilevel"/>
    <w:tmpl w:val="64810664"/>
    <w:lvl w:ilvl="0" w:tentative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lvlText w:val="%1.%2"/>
      <w:lvlJc w:val="left"/>
      <w:pPr>
        <w:ind w:left="992" w:hanging="567"/>
      </w:pPr>
    </w:lvl>
    <w:lvl w:ilvl="2" w:tentative="0">
      <w:start w:val="1"/>
      <w:numFmt w:val="decimal"/>
      <w:lvlText w:val="%1.%2.%3"/>
      <w:lvlJc w:val="left"/>
      <w:pPr>
        <w:ind w:left="1418" w:hanging="567"/>
      </w:pPr>
    </w:lvl>
    <w:lvl w:ilvl="3" w:tentative="0">
      <w:start w:val="1"/>
      <w:numFmt w:val="decimal"/>
      <w:lvlText w:val="%1.%2.%3.%4"/>
      <w:lvlJc w:val="left"/>
      <w:pPr>
        <w:ind w:left="1984" w:hanging="708"/>
      </w:pPr>
    </w:lvl>
    <w:lvl w:ilvl="4" w:tentative="0">
      <w:start w:val="1"/>
      <w:numFmt w:val="decimal"/>
      <w:lvlText w:val="%1.%2.%3.%4.%5"/>
      <w:lvlJc w:val="left"/>
      <w:pPr>
        <w:ind w:left="2551" w:hanging="850"/>
      </w:pPr>
    </w:lvl>
    <w:lvl w:ilvl="5" w:tentative="0">
      <w:start w:val="1"/>
      <w:numFmt w:val="decimal"/>
      <w:lvlText w:val="%1.%2.%3.%4.%5.%6"/>
      <w:lvlJc w:val="left"/>
      <w:pPr>
        <w:ind w:left="3260" w:hanging="1134"/>
      </w:pPr>
    </w:lvl>
    <w:lvl w:ilvl="6" w:tentative="0">
      <w:start w:val="1"/>
      <w:numFmt w:val="decimal"/>
      <w:lvlText w:val="%1.%2.%3.%4.%5.%6.%7"/>
      <w:lvlJc w:val="left"/>
      <w:pPr>
        <w:ind w:left="3827" w:hanging="1276"/>
      </w:pPr>
    </w:lvl>
    <w:lvl w:ilvl="7" w:tentative="0">
      <w:start w:val="1"/>
      <w:numFmt w:val="decimal"/>
      <w:lvlText w:val="%1.%2.%3.%4.%5.%6.%7.%8"/>
      <w:lvlJc w:val="left"/>
      <w:pPr>
        <w:ind w:left="4394" w:hanging="1418"/>
      </w:p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21290D"/>
    <w:rsid w:val="47212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after="330" w:afterLines="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uiPriority w:val="0"/>
    <w:rPr>
      <w:rFonts w:eastAsia="黑体"/>
      <w:sz w:val="36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oleObject" Target="embeddings/oleObject2.bin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2026-08-27T01:35:00Z</dcterms:created>
  <dc:creator>宋方方</dc:creator>
  <cp:lastModifiedBy>宋方方</cp:lastModifiedBy>
  <dcterms:modified xsi:type="dcterms:W3CDTF">2026-08-27T01:35:40Z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02894563288D445A8FB3C6E4FA174B55_11</vt:lpwstr>
  </property>
  <property fmtid="{D5CDD505-2E9C-101B-9397-08002B2CF9AE}" pid="4" name="KSOTemplateDocerSaveRecord">
    <vt:lpwstr>eyJoZGlkIjoiY2ZjZDI4YmRkZDY3MGZmNjNjY2JiZTFlYmI4OWM0ZWEiLCJ1c2VySWQiOiIxNzYzODEyODI4In0=</vt:lpwstr>
  </property>
</Properties>
</file>