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5891A">
      <w:pPr>
        <w:spacing w:line="360" w:lineRule="auto"/>
        <w:ind w:firstLine="482" w:firstLineChars="0"/>
        <w:jc w:val="both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自接收完成磁体终端箱制造的绕组后，开始进行绕组入盒组装工作。其中TF线圈盒是由AU、BU、AP、BP、SP1、SP2六个部件组成，详情见下图3。</w:t>
      </w:r>
    </w:p>
    <w:p w14:paraId="37895F32">
      <w:pPr>
        <w:spacing w:line="360" w:lineRule="auto"/>
        <w:ind w:firstLine="482" w:firstLineChars="0"/>
        <w:jc w:val="center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drawing>
          <wp:inline distT="0" distB="0" distL="0" distR="0">
            <wp:extent cx="3769360" cy="3169920"/>
            <wp:effectExtent l="0" t="0" r="10160" b="0"/>
            <wp:docPr id="9156744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674402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0936" cy="318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5D636">
      <w:pPr>
        <w:spacing w:line="360" w:lineRule="auto"/>
        <w:ind w:firstLine="482" w:firstLineChars="0"/>
        <w:jc w:val="center"/>
        <w:rPr>
          <w:rFonts w:ascii="Times New Roman" w:hAnsi="Times New Roman"/>
          <w:lang w:eastAsia="zh-CN"/>
        </w:rPr>
      </w:pPr>
      <w:r>
        <w:rPr>
          <w:rFonts w:ascii="Times New Roman" w:hAnsi="Times New Roman" w:eastAsiaTheme="minorEastAsia"/>
          <w:lang w:eastAsia="zh-CN"/>
        </w:rPr>
        <w:t>图3</w:t>
      </w:r>
      <w:r>
        <w:rPr>
          <w:rFonts w:hint="eastAsia" w:ascii="Times New Roman" w:hAnsi="Times New Roman" w:eastAsiaTheme="minorEastAsia"/>
          <w:lang w:eastAsia="zh-CN"/>
        </w:rPr>
        <w:t xml:space="preserve">  线圈盒结构示意图</w:t>
      </w:r>
    </w:p>
    <w:p w14:paraId="5CC78F4F">
      <w:pPr>
        <w:spacing w:line="360" w:lineRule="auto"/>
        <w:ind w:firstLine="482" w:firstLineChars="0"/>
        <w:jc w:val="both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TF磁体组装是通过水平定向滑动的方式，实现绕组WP与线圈盒AU、BU的精密组装，然后安装AP和BP并配作装配SP1和SP2的过程。其中，绕组WP在“乘坐”G10垫块上，定向精准地滑进AU和BU内腔的指定装配位置。其中G10限位块是绕组WP与线圈盒内壁之间的过渡垫块，其作用主要分为两部分：一、保证绕组WP与线圈盒在高度方向的装配位置关系；二、绕组WP“乘坐”G10限位块“滑”进线圈盒AU和BU的内腔，保护绕组WP的对地绝缘以及外部的脱模布等结构；G10限位块的结构和形状，按照绕组WP与线圈盒CC之间间隙来配作，因此不同位置的G10限位块形状尺寸均不相同，详见图</w:t>
      </w:r>
      <w:r>
        <w:rPr>
          <w:rFonts w:ascii="Times New Roman" w:hAnsi="Times New Roman"/>
          <w:lang w:eastAsia="zh-CN"/>
        </w:rPr>
        <w:t>4</w:t>
      </w:r>
      <w:r>
        <w:rPr>
          <w:rFonts w:hint="eastAsia" w:ascii="Times New Roman" w:hAnsi="Times New Roman"/>
          <w:lang w:eastAsia="zh-CN"/>
        </w:rPr>
        <w:t>；</w:t>
      </w:r>
      <w:r>
        <w:rPr>
          <w:rFonts w:ascii="Times New Roman" w:hAnsi="Times New Roman"/>
          <w:lang w:eastAsia="zh-CN"/>
        </w:rPr>
        <w:t xml:space="preserve"> </w:t>
      </w:r>
    </w:p>
    <w:p w14:paraId="6ED1C4A7">
      <w:pPr>
        <w:spacing w:line="360" w:lineRule="auto"/>
        <w:ind w:firstLine="482" w:firstLineChars="0"/>
        <w:jc w:val="center"/>
        <w:rPr>
          <w:rFonts w:ascii="Times New Roman" w:hAnsi="Times New Roman"/>
          <w:lang w:eastAsia="zh-CN"/>
        </w:rPr>
      </w:pPr>
      <w:r>
        <w:rPr>
          <w:lang w:eastAsia="zh-CN"/>
        </w:rPr>
        <w:drawing>
          <wp:inline distT="0" distB="0" distL="0" distR="0">
            <wp:extent cx="3694430" cy="1737360"/>
            <wp:effectExtent l="0" t="0" r="8890" b="0"/>
            <wp:docPr id="6133271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32710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0438" cy="174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23DA6">
      <w:pPr>
        <w:spacing w:line="360" w:lineRule="auto"/>
        <w:ind w:firstLine="482" w:firstLineChars="0"/>
        <w:jc w:val="center"/>
        <w:rPr>
          <w:rFonts w:ascii="Times New Roman" w:hAnsi="Times New Roman" w:eastAsiaTheme="minorEastAsia"/>
          <w:bCs/>
          <w:lang w:eastAsia="zh-CN"/>
        </w:rPr>
      </w:pPr>
      <w:r>
        <w:rPr>
          <w:rFonts w:ascii="Times New Roman" w:hAnsi="Times New Roman" w:eastAsiaTheme="minorEastAsia"/>
          <w:bCs/>
          <w:lang w:eastAsia="zh-CN"/>
        </w:rPr>
        <w:t>图4</w:t>
      </w:r>
      <w:r>
        <w:rPr>
          <w:rFonts w:hint="eastAsia" w:ascii="Times New Roman" w:hAnsi="Times New Roman" w:eastAsiaTheme="minorEastAsia"/>
          <w:bCs/>
          <w:lang w:eastAsia="zh-CN"/>
        </w:rPr>
        <w:t xml:space="preserve">  </w:t>
      </w:r>
      <w:r>
        <w:rPr>
          <w:rFonts w:ascii="Times New Roman" w:hAnsi="Times New Roman" w:eastAsiaTheme="minorEastAsia"/>
          <w:bCs/>
          <w:lang w:eastAsia="zh-CN"/>
        </w:rPr>
        <w:t>G10</w:t>
      </w:r>
      <w:r>
        <w:rPr>
          <w:rFonts w:hint="eastAsia" w:ascii="Times New Roman" w:hAnsi="Times New Roman" w:eastAsiaTheme="minorEastAsia"/>
          <w:bCs/>
          <w:lang w:eastAsia="zh-CN"/>
        </w:rPr>
        <w:t>限位块</w:t>
      </w:r>
      <w:r>
        <w:rPr>
          <w:rFonts w:ascii="Times New Roman" w:hAnsi="Times New Roman" w:eastAsiaTheme="minorEastAsia"/>
          <w:bCs/>
          <w:lang w:eastAsia="zh-CN"/>
        </w:rPr>
        <w:t>示意图</w:t>
      </w:r>
    </w:p>
    <w:p w14:paraId="39B3A9E6">
      <w:pPr>
        <w:spacing w:line="360" w:lineRule="auto"/>
        <w:ind w:firstLine="482" w:firstLineChars="0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TF磁体组装具体工艺包括：</w:t>
      </w:r>
    </w:p>
    <w:p w14:paraId="3C89B6EB">
      <w:pPr>
        <w:pStyle w:val="6"/>
        <w:numPr>
          <w:ilvl w:val="0"/>
          <w:numId w:val="2"/>
        </w:numPr>
        <w:spacing w:line="360" w:lineRule="auto"/>
        <w:ind w:left="0" w:firstLine="480"/>
        <w:jc w:val="both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AU、BU、WP来料检测与虚拟装配：绕组WP与线圈盒部件（AU、BU、AP、BP）到货时，均需要对其轮廓尺寸进行测量与检查；使用蓝光扫描设备，扫描生成绕组WP的外轮廓和AU、BU的内轮廓，以及三者组装所需的三个正交基准面，如图</w:t>
      </w:r>
      <w:r>
        <w:rPr>
          <w:rFonts w:ascii="Times New Roman" w:hAnsi="Times New Roman"/>
          <w:lang w:eastAsia="zh-CN"/>
        </w:rPr>
        <w:t>5</w:t>
      </w:r>
      <w:r>
        <w:rPr>
          <w:rFonts w:hint="eastAsia" w:ascii="Times New Roman" w:hAnsi="Times New Roman"/>
          <w:lang w:eastAsia="zh-CN"/>
        </w:rPr>
        <w:t>所示；然后，通过虚拟装配确定最佳的装配方案（最优化的相对位置关系，消除或减弱绕组与线圈盒的制造误差造成的影响），并生成相应的G10限位块的三维模型；</w:t>
      </w:r>
    </w:p>
    <w:p w14:paraId="0A3B3CED">
      <w:pPr>
        <w:pStyle w:val="6"/>
        <w:spacing w:line="360" w:lineRule="auto"/>
        <w:ind w:left="842" w:firstLine="0" w:firstLineChars="0"/>
        <w:jc w:val="center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color w:val="EE0000"/>
          <w:lang w:eastAsia="zh-CN"/>
        </w:rPr>
        <w:drawing>
          <wp:inline distT="0" distB="0" distL="0" distR="0">
            <wp:extent cx="2966085" cy="2123440"/>
            <wp:effectExtent l="0" t="0" r="5715" b="10160"/>
            <wp:docPr id="19536941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694193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0521" cy="212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D04A0">
      <w:pPr>
        <w:spacing w:line="360" w:lineRule="auto"/>
        <w:ind w:firstLine="482" w:firstLineChars="0"/>
        <w:jc w:val="center"/>
        <w:rPr>
          <w:rFonts w:ascii="Times New Roman" w:hAnsi="Times New Roman" w:eastAsiaTheme="minorEastAsia"/>
          <w:bCs/>
          <w:lang w:eastAsia="zh-CN"/>
        </w:rPr>
      </w:pPr>
      <w:r>
        <w:rPr>
          <w:rFonts w:hint="eastAsia" w:ascii="Times New Roman" w:hAnsi="Times New Roman" w:eastAsiaTheme="minorEastAsia"/>
          <w:bCs/>
          <w:lang w:eastAsia="zh-CN"/>
        </w:rPr>
        <w:t>图5  正交基准面</w:t>
      </w:r>
    </w:p>
    <w:p w14:paraId="2BC72E44">
      <w:pPr>
        <w:pStyle w:val="6"/>
        <w:numPr>
          <w:ilvl w:val="0"/>
          <w:numId w:val="2"/>
        </w:numPr>
        <w:spacing w:line="360" w:lineRule="auto"/>
        <w:ind w:left="0" w:firstLine="480"/>
        <w:jc w:val="both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装配坐标系的建立：通过组装设备的导轨平面，利用激光跟踪仪和靶标座的布置，建立统一装配坐标系（</w:t>
      </w:r>
      <w:r>
        <w:rPr>
          <w:rFonts w:ascii="Times New Roman" w:hAnsi="Times New Roman"/>
          <w:lang w:eastAsia="zh-CN"/>
        </w:rPr>
        <w:t>Unified Assembly Coordinate System</w:t>
      </w:r>
      <w:r>
        <w:rPr>
          <w:rFonts w:hint="eastAsia" w:ascii="Times New Roman" w:hAnsi="Times New Roman"/>
          <w:lang w:eastAsia="zh-CN"/>
        </w:rPr>
        <w:t>，简称UACS）；</w:t>
      </w:r>
    </w:p>
    <w:p w14:paraId="1346ACC4">
      <w:pPr>
        <w:pStyle w:val="6"/>
        <w:numPr>
          <w:ilvl w:val="0"/>
          <w:numId w:val="2"/>
        </w:numPr>
        <w:spacing w:line="360" w:lineRule="auto"/>
        <w:ind w:left="0" w:firstLine="480"/>
        <w:jc w:val="both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G10限位块配作制备：根据虚拟装配提供的三维模型，配作制备G10限位块；</w:t>
      </w:r>
    </w:p>
    <w:p w14:paraId="195E8850">
      <w:pPr>
        <w:pStyle w:val="6"/>
        <w:numPr>
          <w:ilvl w:val="0"/>
          <w:numId w:val="2"/>
        </w:numPr>
        <w:spacing w:line="360" w:lineRule="auto"/>
        <w:ind w:left="0" w:firstLine="480"/>
        <w:jc w:val="both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AU、BU的落位与试装配：AU和BU在临时检测台完成准备工序后，吊运落位安装到组装设备的驱动滑台上；使用驱动滑台将AU和BU合拢至装配预定位置，检查：（a）AU与BU的三个基准面的与装配坐标系对齐情况；（b）AU与BU之间的焊接坡口的装配情况，包含：坡口间隙2±</w:t>
      </w:r>
      <w:r>
        <w:rPr>
          <w:rFonts w:ascii="Times New Roman" w:hAnsi="Times New Roman"/>
          <w:lang w:eastAsia="zh-CN"/>
        </w:rPr>
        <w:t>1</w:t>
      </w:r>
      <w:r>
        <w:rPr>
          <w:rFonts w:hint="eastAsia" w:ascii="Times New Roman" w:hAnsi="Times New Roman"/>
          <w:lang w:eastAsia="zh-CN"/>
        </w:rPr>
        <w:t>mm，错边不大于</w:t>
      </w:r>
      <w:r>
        <w:rPr>
          <w:rFonts w:ascii="Times New Roman" w:hAnsi="Times New Roman"/>
          <w:lang w:eastAsia="zh-CN"/>
        </w:rPr>
        <w:t>0.5</w:t>
      </w:r>
      <w:r>
        <w:rPr>
          <w:rFonts w:hint="eastAsia" w:ascii="Times New Roman" w:hAnsi="Times New Roman"/>
          <w:lang w:eastAsia="zh-CN"/>
        </w:rPr>
        <w:t>mm；</w:t>
      </w:r>
    </w:p>
    <w:p w14:paraId="5AA025E0">
      <w:pPr>
        <w:pStyle w:val="6"/>
        <w:numPr>
          <w:ilvl w:val="0"/>
          <w:numId w:val="2"/>
        </w:numPr>
        <w:spacing w:line="360" w:lineRule="auto"/>
        <w:ind w:left="0" w:firstLine="480"/>
        <w:jc w:val="both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WP落放至磁体组装平台工位。通过激光跟踪仪对WP落放位置进行实时调整，使得WP达到理想落的放位置；WP落放就位：将WP吊运至组装设备的WP支撑台上方，通过特征线对齐和组装设备的精确移动功能，调整WP在装配坐标系内的位置和姿态，并使用激光跟踪仪测量与验收。</w:t>
      </w:r>
    </w:p>
    <w:p w14:paraId="4CD9E0C9">
      <w:pPr>
        <w:spacing w:line="360" w:lineRule="auto"/>
        <w:ind w:firstLine="482" w:firstLineChars="0"/>
        <w:jc w:val="both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绕组入盒组装完成后，需进行线圈盒部件密封焊接，焊接工作不包括在TF磁体组装工作内，故不在本技术要求中进行阐述。</w:t>
      </w:r>
    </w:p>
    <w:p w14:paraId="5D9153C3">
      <w:pPr>
        <w:pStyle w:val="3"/>
        <w:numPr>
          <w:ilvl w:val="1"/>
          <w:numId w:val="3"/>
        </w:numPr>
        <w:rPr>
          <w:rFonts w:cs="Times New Roman"/>
          <w:szCs w:val="24"/>
        </w:rPr>
      </w:pPr>
      <w:bookmarkStart w:id="0" w:name="_Toc211870293"/>
      <w:r>
        <w:rPr>
          <w:rFonts w:cs="Times New Roman"/>
          <w:szCs w:val="24"/>
        </w:rPr>
        <w:t>TF</w:t>
      </w:r>
      <w:r>
        <w:rPr>
          <w:rFonts w:hint="eastAsia" w:cs="Times New Roman"/>
          <w:szCs w:val="24"/>
        </w:rPr>
        <w:t>线圈盒间隙填充</w:t>
      </w:r>
      <w:r>
        <w:rPr>
          <w:rFonts w:cs="Times New Roman"/>
          <w:szCs w:val="24"/>
        </w:rPr>
        <w:t>工艺</w:t>
      </w:r>
      <w:r>
        <w:rPr>
          <w:rFonts w:hint="eastAsia" w:cs="Times New Roman"/>
          <w:szCs w:val="24"/>
        </w:rPr>
        <w:t>简介</w:t>
      </w:r>
      <w:bookmarkEnd w:id="0"/>
    </w:p>
    <w:p w14:paraId="2B474A64">
      <w:pPr>
        <w:spacing w:line="360" w:lineRule="auto"/>
        <w:ind w:firstLine="482" w:firstLineChars="0"/>
        <w:jc w:val="both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TF绕组入盒组装并封焊完成后，进行线圈盒间隙填充工作。在绕组与线圈盒内壁之间的装配间隙中，填充特殊的液态树脂材料并升温固化。这些间隙中的树脂材料，起到固定绕组WP与线圈盒CC的相对位置并传导各种作用力的目的。为此，线圈盒上、下表面分别沿轴向均布设置有8个冒胶口和7个注胶口，规格为直径30mm的通孔，如图</w:t>
      </w:r>
      <w:r>
        <w:rPr>
          <w:rFonts w:ascii="Times New Roman" w:hAnsi="Times New Roman"/>
          <w:lang w:eastAsia="zh-CN"/>
        </w:rPr>
        <w:t>6</w:t>
      </w:r>
      <w:r>
        <w:rPr>
          <w:rFonts w:hint="eastAsia" w:ascii="Times New Roman" w:hAnsi="Times New Roman"/>
          <w:lang w:eastAsia="zh-CN"/>
        </w:rPr>
        <w:t>所示</w:t>
      </w:r>
      <w:r>
        <w:rPr>
          <w:rFonts w:ascii="Times New Roman" w:hAnsi="Times New Roman"/>
          <w:lang w:eastAsia="zh-CN"/>
        </w:rPr>
        <w:t>。</w:t>
      </w:r>
    </w:p>
    <w:p w14:paraId="68FD9D0A">
      <w:pPr>
        <w:spacing w:line="360" w:lineRule="auto"/>
        <w:ind w:firstLine="480" w:firstLineChars="0"/>
        <w:jc w:val="center"/>
        <w:rPr>
          <w:rFonts w:ascii="Times New Roman" w:hAnsi="Times New Roman"/>
          <w:lang w:eastAsia="zh-CN"/>
        </w:rPr>
      </w:pPr>
      <w:r>
        <w:rPr>
          <w:lang w:eastAsia="zh-CN"/>
        </w:rPr>
        <w:drawing>
          <wp:inline distT="0" distB="0" distL="0" distR="0">
            <wp:extent cx="4371975" cy="2197735"/>
            <wp:effectExtent l="0" t="0" r="1905" b="12065"/>
            <wp:docPr id="13798368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836880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00884" cy="221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E8A1B">
      <w:pPr>
        <w:spacing w:line="360" w:lineRule="auto"/>
        <w:ind w:firstLine="480" w:firstLineChars="0"/>
        <w:jc w:val="center"/>
        <w:rPr>
          <w:rFonts w:ascii="Times New Roman" w:hAnsi="Times New Roman" w:eastAsiaTheme="minorEastAsia"/>
          <w:lang w:eastAsia="zh-CN"/>
        </w:rPr>
      </w:pPr>
      <w:bookmarkStart w:id="1" w:name="OLE_LINK6"/>
      <w:r>
        <w:rPr>
          <w:rFonts w:ascii="Times New Roman" w:hAnsi="Times New Roman" w:eastAsiaTheme="minorEastAsia"/>
          <w:lang w:eastAsia="zh-CN"/>
        </w:rPr>
        <w:t>图6</w:t>
      </w:r>
      <w:r>
        <w:rPr>
          <w:rFonts w:hint="eastAsia" w:ascii="Times New Roman" w:hAnsi="Times New Roman" w:eastAsiaTheme="minorEastAsia"/>
          <w:lang w:eastAsia="zh-CN"/>
        </w:rPr>
        <w:t xml:space="preserve">  </w:t>
      </w:r>
      <w:r>
        <w:rPr>
          <w:rFonts w:ascii="Times New Roman" w:hAnsi="Times New Roman" w:eastAsiaTheme="minorEastAsia"/>
          <w:lang w:eastAsia="zh-CN"/>
        </w:rPr>
        <w:t>TF线圈盒注/冒胶口分布示意图</w:t>
      </w:r>
    </w:p>
    <w:bookmarkEnd w:id="1"/>
    <w:p w14:paraId="65852937">
      <w:pPr>
        <w:spacing w:line="360" w:lineRule="auto"/>
        <w:ind w:firstLine="480" w:firstLineChars="0"/>
        <w:jc w:val="both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图</w:t>
      </w:r>
      <w:r>
        <w:rPr>
          <w:rFonts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展</w:t>
      </w:r>
      <w:r>
        <w:rPr>
          <w:rFonts w:hint="eastAsia" w:ascii="Times New Roman" w:hAnsi="Times New Roman"/>
          <w:lang w:eastAsia="zh-CN"/>
        </w:rPr>
        <w:t>示了间隙填充工程的</w:t>
      </w:r>
      <w:r>
        <w:rPr>
          <w:rFonts w:ascii="Times New Roman" w:hAnsi="Times New Roman"/>
          <w:lang w:eastAsia="zh-CN"/>
        </w:rPr>
        <w:t>工艺流程图</w:t>
      </w:r>
      <w:r>
        <w:rPr>
          <w:rFonts w:hint="eastAsia" w:ascii="Times New Roman" w:hAnsi="Times New Roman"/>
          <w:lang w:eastAsia="zh-CN"/>
        </w:rPr>
        <w:t>。间隙填充开始前应当对线圈盒密封、各系统管路进行真空检漏及压降测试，以确保不会出现树脂渗漏的风险。</w:t>
      </w:r>
      <w:r>
        <w:rPr>
          <w:rFonts w:hint="eastAsia"/>
          <w:lang w:eastAsia="zh-CN"/>
        </w:rPr>
        <w:t>在真空系统作用下将注胶间隙抽至指定真空度，然后进行树脂注入工作。</w:t>
      </w:r>
    </w:p>
    <w:p w14:paraId="408B030A">
      <w:pPr>
        <w:spacing w:line="360" w:lineRule="auto"/>
        <w:ind w:firstLineChars="0"/>
        <w:jc w:val="center"/>
        <w:rPr>
          <w:rFonts w:ascii="Times New Roman" w:hAnsi="Times New Roman" w:eastAsiaTheme="minorEastAsia"/>
          <w:lang w:eastAsia="zh-CN"/>
        </w:rPr>
      </w:pPr>
      <w:r>
        <w:drawing>
          <wp:inline distT="0" distB="0" distL="0" distR="0">
            <wp:extent cx="5610225" cy="4027170"/>
            <wp:effectExtent l="0" t="0" r="13335" b="11430"/>
            <wp:docPr id="11491503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15033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02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06B3A">
      <w:pPr>
        <w:spacing w:line="360" w:lineRule="auto"/>
        <w:ind w:firstLine="480" w:firstLineChars="0"/>
        <w:jc w:val="center"/>
        <w:rPr>
          <w:rFonts w:ascii="Times New Roman" w:hAnsi="Times New Roman" w:eastAsiaTheme="minorEastAsia"/>
          <w:lang w:eastAsia="zh-CN"/>
        </w:rPr>
      </w:pPr>
      <w:r>
        <w:rPr>
          <w:rFonts w:ascii="Times New Roman" w:hAnsi="Times New Roman" w:eastAsiaTheme="minorEastAsia"/>
          <w:lang w:eastAsia="zh-CN"/>
        </w:rPr>
        <w:t>图7</w:t>
      </w:r>
      <w:r>
        <w:rPr>
          <w:rFonts w:hint="eastAsia" w:ascii="Times New Roman" w:hAnsi="Times New Roman" w:eastAsiaTheme="minorEastAsia"/>
          <w:lang w:eastAsia="zh-CN"/>
        </w:rPr>
        <w:t xml:space="preserve">  </w:t>
      </w:r>
      <w:r>
        <w:rPr>
          <w:rFonts w:ascii="Times New Roman" w:hAnsi="Times New Roman" w:eastAsiaTheme="minorEastAsia"/>
          <w:lang w:eastAsia="zh-CN"/>
        </w:rPr>
        <w:t>TF线圈间隙填充过程PID图</w:t>
      </w:r>
    </w:p>
    <w:p w14:paraId="1B1E6CAF">
      <w:pPr>
        <w:spacing w:line="360" w:lineRule="auto"/>
        <w:ind w:firstLine="480" w:firstLineChars="0"/>
        <w:jc w:val="both"/>
        <w:rPr>
          <w:rFonts w:ascii="Times New Roman" w:hAnsi="Times New Roman" w:eastAsiaTheme="minorEastAsia"/>
          <w:lang w:eastAsia="zh-CN"/>
        </w:rPr>
      </w:pPr>
      <w:r>
        <w:rPr>
          <w:rFonts w:hint="eastAsia" w:ascii="Times New Roman" w:hAnsi="Times New Roman" w:eastAsiaTheme="minorEastAsia"/>
          <w:lang w:eastAsia="zh-CN"/>
        </w:rPr>
        <w:t>甲方根据实际间隙填充系统搭建需求，有权对该PID图进行修改，乙方需严格按照甲方修改后的方案进行施工。</w:t>
      </w:r>
    </w:p>
    <w:p w14:paraId="793C3C87">
      <w:pPr>
        <w:spacing w:line="360" w:lineRule="auto"/>
        <w:ind w:firstLine="480" w:firstLineChars="0"/>
        <w:jc w:val="both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将树脂原料与粉料分别注入预混罐中，经由静态混胶设备混胶脱气后注入线圈盒间隙。在各冒胶口均有树脂冒出后，对已注入间隙反向打压2bar压力（表压），确保树脂压实。</w:t>
      </w:r>
    </w:p>
    <w:p w14:paraId="16EB07C6">
      <w:pPr>
        <w:spacing w:line="360" w:lineRule="auto"/>
        <w:ind w:firstLine="480" w:firstLineChars="0"/>
        <w:jc w:val="both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打压结束后，对树脂进行升温固化。加热系统由外部（线圈盒）加热系统、内部（绕组WP）加热系统组成。内部加热系统是通过从TF绕组馈电端子馈入大电流，利用绕组WP自身的焦耳热加热绕组WP。外部加热系统是采用“线圈盒内壁氦冷却管内通入循环热水（水浴加热）”的方式作为主加热源，热量散失较大的区域或者升温较慢的区域，采用安装加热板/带的方式进行热补偿或辅助加热。以实现对间隙填充区域实现升温加热，对树脂进行加热固化，过程与参数详见图8。</w:t>
      </w:r>
    </w:p>
    <w:p w14:paraId="5195ECCD">
      <w:pPr>
        <w:pStyle w:val="6"/>
        <w:spacing w:line="360" w:lineRule="auto"/>
        <w:ind w:firstLine="0" w:firstLineChars="0"/>
        <w:jc w:val="center"/>
        <w:rPr>
          <w:rFonts w:ascii="宋体" w:hAnsi="宋体"/>
          <w:lang w:eastAsia="zh-CN"/>
        </w:rPr>
      </w:pPr>
      <w:r>
        <w:drawing>
          <wp:inline distT="0" distB="0" distL="0" distR="0">
            <wp:extent cx="5610225" cy="2501265"/>
            <wp:effectExtent l="0" t="0" r="13335" b="13335"/>
            <wp:docPr id="20832626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26260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250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A6550">
      <w:pPr>
        <w:pStyle w:val="6"/>
        <w:spacing w:line="360" w:lineRule="auto"/>
        <w:ind w:left="420" w:firstLine="0" w:firstLineChars="0"/>
        <w:jc w:val="center"/>
        <w:rPr>
          <w:rFonts w:ascii="宋体" w:hAnsi="宋体"/>
          <w:lang w:eastAsia="zh-CN"/>
        </w:rPr>
      </w:pPr>
      <w:r>
        <w:rPr>
          <w:rFonts w:ascii="Times New Roman" w:hAnsi="Times New Roman" w:eastAsiaTheme="minorEastAsia"/>
          <w:lang w:eastAsia="zh-CN"/>
        </w:rPr>
        <w:t>图</w:t>
      </w:r>
      <w:r>
        <w:rPr>
          <w:rFonts w:hint="eastAsia" w:ascii="Times New Roman" w:hAnsi="Times New Roman" w:eastAsiaTheme="minorEastAsia"/>
          <w:lang w:eastAsia="zh-CN"/>
        </w:rPr>
        <w:t xml:space="preserve">8 </w:t>
      </w:r>
      <w:r>
        <w:rPr>
          <w:rFonts w:hint="eastAsia" w:ascii="宋体" w:hAnsi="宋体"/>
          <w:lang w:eastAsia="zh-CN"/>
        </w:rPr>
        <w:t>树脂加热固化温度曲线</w:t>
      </w:r>
    </w:p>
    <w:p w14:paraId="0612EAAA">
      <w:pPr>
        <w:pStyle w:val="6"/>
        <w:spacing w:line="360" w:lineRule="auto"/>
        <w:ind w:firstLine="480"/>
        <w:jc w:val="both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甲方根据实际加热需求，有权对加热策略进行修改，乙方需严格按照甲方修改后的方案进行施工。</w:t>
      </w:r>
    </w:p>
    <w:p w14:paraId="380E38F2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ED6374"/>
    <w:multiLevelType w:val="multilevel"/>
    <w:tmpl w:val="27ED6374"/>
    <w:lvl w:ilvl="0" w:tentative="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353D2439"/>
    <w:multiLevelType w:val="multilevel"/>
    <w:tmpl w:val="353D243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CEF268C"/>
    <w:multiLevelType w:val="multilevel"/>
    <w:tmpl w:val="4CEF268C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7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40" w:lineRule="exact"/>
      <w:ind w:firstLine="200" w:firstLineChars="200"/>
    </w:pPr>
    <w:rPr>
      <w:rFonts w:ascii="Calibri" w:hAnsi="Calibri" w:eastAsia="宋体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numPr>
        <w:ilvl w:val="0"/>
        <w:numId w:val="1"/>
      </w:numPr>
      <w:ind w:left="0" w:firstLine="0" w:firstLineChars="0"/>
      <w:outlineLvl w:val="0"/>
    </w:pPr>
    <w:rPr>
      <w:rFonts w:asciiTheme="minorHAnsi" w:hAnsiTheme="minorHAnsi" w:eastAsiaTheme="minorEastAsia" w:cstheme="minorHAnsi"/>
      <w:b/>
      <w:sz w:val="28"/>
      <w:lang w:eastAsia="zh-CN"/>
    </w:rPr>
  </w:style>
  <w:style w:type="paragraph" w:styleId="3">
    <w:name w:val="heading 2"/>
    <w:basedOn w:val="2"/>
    <w:next w:val="1"/>
    <w:qFormat/>
    <w:uiPriority w:val="0"/>
    <w:pPr>
      <w:numPr>
        <w:numId w:val="0"/>
      </w:numPr>
      <w:ind w:left="567" w:hanging="567"/>
      <w:outlineLvl w:val="1"/>
    </w:pPr>
    <w:rPr>
      <w:rFonts w:ascii="Times New Roman" w:hAnsi="Times New Roman"/>
      <w:sz w:val="24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2026-05-25T07:18:18Z</dcterms:created>
  <dc:creator>Lenovo</dc:creator>
  <cp:lastModifiedBy>宋方方</cp:lastModifiedBy>
  <dcterms:modified xsi:type="dcterms:W3CDTF">2026-05-25T07:18:22Z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eyJoZGlkIjoiY2ZjZDI4YmRkZDY3MGZmNjNjY2JiZTFlYmI4OWM0ZWEiLCJ1c2VySWQiOiIxNzYzODEyODI4In0=</vt:lpwstr>
  </property>
  <property fmtid="{D5CDD505-2E9C-101B-9397-08002B2CF9AE}" pid="4" name="ICV">
    <vt:lpwstr>54F1292160F34EF9B91538210067CCC5_12</vt:lpwstr>
  </property>
</Properties>
</file>