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6C2981">
      <w:pPr>
        <w:pStyle w:val="2"/>
        <w:widowControl/>
        <w:snapToGrid w:val="0"/>
        <w:spacing w:before="0" w:after="0" w:line="360" w:lineRule="auto"/>
        <w:jc w:val="center"/>
        <w:rPr>
          <w:rFonts w:hint="eastAsia" w:ascii="宋体" w:hAnsi="宋体"/>
          <w:color w:val="auto"/>
          <w:highlight w:val="none"/>
        </w:rPr>
      </w:pPr>
      <w:r>
        <w:rPr>
          <w:rFonts w:hint="eastAsia" w:ascii="宋体" w:hAnsi="宋体"/>
          <w:color w:val="auto"/>
          <w:highlight w:val="none"/>
        </w:rPr>
        <w:t>采购需求及技术规格要求</w:t>
      </w:r>
    </w:p>
    <w:p w14:paraId="61D9A491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1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>货物需求一览表</w:t>
      </w:r>
    </w:p>
    <w:tbl>
      <w:tblPr>
        <w:tblStyle w:val="3"/>
        <w:tblW w:w="83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1701"/>
        <w:gridCol w:w="992"/>
        <w:gridCol w:w="4859"/>
      </w:tblGrid>
      <w:tr w14:paraId="1FE9F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" w:type="dxa"/>
            <w:noWrap w:val="0"/>
            <w:vAlign w:val="center"/>
          </w:tcPr>
          <w:p w14:paraId="66670499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bookmarkStart w:id="0" w:name="_Toc30409514"/>
            <w:bookmarkStart w:id="1" w:name="_Toc532807472"/>
            <w:bookmarkStart w:id="2" w:name="_Toc12010788"/>
            <w:bookmarkStart w:id="3" w:name="_Toc257021215"/>
            <w:bookmarkStart w:id="4" w:name="_Toc509153917"/>
            <w:bookmarkStart w:id="5" w:name="_Toc12010815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1701" w:type="dxa"/>
            <w:noWrap w:val="0"/>
            <w:vAlign w:val="center"/>
          </w:tcPr>
          <w:p w14:paraId="5044D1DE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货物名称</w:t>
            </w:r>
          </w:p>
        </w:tc>
        <w:tc>
          <w:tcPr>
            <w:tcW w:w="992" w:type="dxa"/>
            <w:noWrap w:val="0"/>
            <w:vAlign w:val="center"/>
          </w:tcPr>
          <w:p w14:paraId="6124B849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数量</w:t>
            </w:r>
          </w:p>
        </w:tc>
        <w:tc>
          <w:tcPr>
            <w:tcW w:w="4859" w:type="dxa"/>
            <w:noWrap w:val="0"/>
            <w:vAlign w:val="top"/>
          </w:tcPr>
          <w:p w14:paraId="5934F0C7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备注</w:t>
            </w:r>
          </w:p>
        </w:tc>
      </w:tr>
      <w:tr w14:paraId="14E23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51" w:type="dxa"/>
            <w:noWrap w:val="0"/>
            <w:vAlign w:val="center"/>
          </w:tcPr>
          <w:p w14:paraId="7447EE6D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3D020E48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PG电极</w:t>
            </w:r>
          </w:p>
        </w:tc>
        <w:tc>
          <w:tcPr>
            <w:tcW w:w="992" w:type="dxa"/>
            <w:noWrap w:val="0"/>
            <w:vAlign w:val="center"/>
          </w:tcPr>
          <w:p w14:paraId="3D2A950A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4</w:t>
            </w:r>
            <w:bookmarkStart w:id="6" w:name="OLE_LINK26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块</w:t>
            </w:r>
            <w:bookmarkEnd w:id="6"/>
          </w:p>
        </w:tc>
        <w:tc>
          <w:tcPr>
            <w:tcW w:w="4859" w:type="dxa"/>
            <w:noWrap w:val="0"/>
            <w:vAlign w:val="top"/>
          </w:tcPr>
          <w:p w14:paraId="70476F17">
            <w:pPr>
              <w:adjustRightInd w:val="0"/>
              <w:snapToGrid w:val="0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钼（≥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99.9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%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），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单块电极有172个异性引出圆孔，孔与孔之间存在约2.5mm×2mm，S型截面的水道用于通水冷却。尺寸约370mm×430mm，厚度11mm，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，平行度0.1mm</w:t>
            </w:r>
          </w:p>
        </w:tc>
      </w:tr>
      <w:tr w14:paraId="34945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51" w:type="dxa"/>
            <w:noWrap w:val="0"/>
            <w:vAlign w:val="center"/>
          </w:tcPr>
          <w:p w14:paraId="2B08BFD0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35A7CD31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SG电极</w:t>
            </w:r>
          </w:p>
        </w:tc>
        <w:tc>
          <w:tcPr>
            <w:tcW w:w="992" w:type="dxa"/>
            <w:noWrap w:val="0"/>
            <w:vAlign w:val="center"/>
          </w:tcPr>
          <w:p w14:paraId="173E4C88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4块</w:t>
            </w:r>
          </w:p>
        </w:tc>
        <w:tc>
          <w:tcPr>
            <w:tcW w:w="4859" w:type="dxa"/>
            <w:noWrap w:val="0"/>
            <w:vAlign w:val="top"/>
          </w:tcPr>
          <w:p w14:paraId="4B0FF36F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钼（≥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99.9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%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）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单块电极有172个异性引出圆孔，孔与孔之间存在约2.5mm×3mm，S型截面的水道用于通水冷却。</w:t>
            </w:r>
            <w:bookmarkStart w:id="7" w:name="OLE_LINK21"/>
            <w:r>
              <w:rPr>
                <w:rFonts w:hint="eastAsia"/>
                <w:bCs/>
                <w:color w:val="auto"/>
                <w:szCs w:val="21"/>
                <w:highlight w:val="none"/>
              </w:rPr>
              <w:t>尺寸约340mm×330mm，厚度14mm</w:t>
            </w:r>
            <w:bookmarkEnd w:id="7"/>
            <w:r>
              <w:rPr>
                <w:rFonts w:hint="eastAsia"/>
                <w:bCs/>
                <w:color w:val="auto"/>
                <w:szCs w:val="21"/>
                <w:highlight w:val="none"/>
              </w:rPr>
              <w:t>。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，平行度0.1mm</w:t>
            </w:r>
          </w:p>
        </w:tc>
      </w:tr>
      <w:tr w14:paraId="0EE3E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51" w:type="dxa"/>
            <w:noWrap w:val="0"/>
            <w:vAlign w:val="center"/>
          </w:tcPr>
          <w:p w14:paraId="29688293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129D4CA4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EG电极</w:t>
            </w:r>
          </w:p>
        </w:tc>
        <w:tc>
          <w:tcPr>
            <w:tcW w:w="992" w:type="dxa"/>
            <w:noWrap w:val="0"/>
            <w:vAlign w:val="center"/>
          </w:tcPr>
          <w:p w14:paraId="6707B126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4块</w:t>
            </w:r>
          </w:p>
        </w:tc>
        <w:tc>
          <w:tcPr>
            <w:tcW w:w="4859" w:type="dxa"/>
            <w:noWrap w:val="0"/>
            <w:vAlign w:val="top"/>
          </w:tcPr>
          <w:p w14:paraId="080EFD2F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钼（≥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99.9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%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）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单块电极有172个异性引出圆孔，孔与孔之间存在约2.5mm×1.5mm，S型截面的水道用于通水冷却。尺寸约320mm×300mm，厚度22mm。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，平行度0.1mm</w:t>
            </w:r>
          </w:p>
        </w:tc>
      </w:tr>
      <w:tr w14:paraId="494A3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  <w:jc w:val="center"/>
        </w:trPr>
        <w:tc>
          <w:tcPr>
            <w:tcW w:w="751" w:type="dxa"/>
            <w:vMerge w:val="restart"/>
            <w:noWrap w:val="0"/>
            <w:vAlign w:val="center"/>
          </w:tcPr>
          <w:p w14:paraId="09E7E696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1701" w:type="dxa"/>
            <w:vMerge w:val="restart"/>
            <w:noWrap w:val="0"/>
            <w:vAlign w:val="center"/>
          </w:tcPr>
          <w:p w14:paraId="0E9D8978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加速器电极支撑</w:t>
            </w:r>
          </w:p>
        </w:tc>
        <w:tc>
          <w:tcPr>
            <w:tcW w:w="992" w:type="dxa"/>
            <w:vMerge w:val="restart"/>
            <w:noWrap w:val="0"/>
            <w:vAlign w:val="center"/>
          </w:tcPr>
          <w:p w14:paraId="7CF07C0C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2套</w:t>
            </w:r>
          </w:p>
        </w:tc>
        <w:tc>
          <w:tcPr>
            <w:tcW w:w="4859" w:type="dxa"/>
            <w:noWrap w:val="0"/>
            <w:vAlign w:val="top"/>
          </w:tcPr>
          <w:p w14:paraId="7549423F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PG电极支撑，304或316L不锈钢磁导率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μ≤</w:t>
            </w:r>
            <w:r>
              <w:rPr>
                <w:rFonts w:ascii="等线" w:hAnsi="等线" w:eastAsia="等线"/>
                <w:color w:val="auto"/>
                <w:highlight w:val="none"/>
              </w:rPr>
              <w:t xml:space="preserve"> 1.2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整体锻料加工，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尺寸约740mm×600mm，高度80mm，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025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，平行度0.1mm。</w:t>
            </w:r>
          </w:p>
        </w:tc>
      </w:tr>
      <w:tr w14:paraId="3A338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  <w:jc w:val="center"/>
        </w:trPr>
        <w:tc>
          <w:tcPr>
            <w:tcW w:w="751" w:type="dxa"/>
            <w:vMerge w:val="continue"/>
            <w:noWrap w:val="0"/>
            <w:vAlign w:val="center"/>
          </w:tcPr>
          <w:p w14:paraId="36AB95FB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noWrap w:val="0"/>
            <w:vAlign w:val="center"/>
          </w:tcPr>
          <w:p w14:paraId="40838E1C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 w14:paraId="31B4BD15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4859" w:type="dxa"/>
            <w:noWrap w:val="0"/>
            <w:vAlign w:val="top"/>
          </w:tcPr>
          <w:p w14:paraId="40836F95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SG电极支撑，304或316L不锈钢磁导率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μ≤</w:t>
            </w:r>
            <w:r>
              <w:rPr>
                <w:rFonts w:ascii="等线" w:hAnsi="等线" w:eastAsia="等线"/>
                <w:color w:val="auto"/>
                <w:highlight w:val="none"/>
              </w:rPr>
              <w:t xml:space="preserve"> 1.2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整体锻料加工，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尺寸约700mm×450mm，高度330mm，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025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，平行度0.1mm。</w:t>
            </w:r>
          </w:p>
        </w:tc>
      </w:tr>
      <w:tr w14:paraId="66FBD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  <w:jc w:val="center"/>
        </w:trPr>
        <w:tc>
          <w:tcPr>
            <w:tcW w:w="751" w:type="dxa"/>
            <w:vMerge w:val="continue"/>
            <w:noWrap w:val="0"/>
            <w:vAlign w:val="center"/>
          </w:tcPr>
          <w:p w14:paraId="6D23809F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1701" w:type="dxa"/>
            <w:vMerge w:val="continue"/>
            <w:noWrap w:val="0"/>
            <w:vAlign w:val="center"/>
          </w:tcPr>
          <w:p w14:paraId="4C7B6AA8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992" w:type="dxa"/>
            <w:vMerge w:val="continue"/>
            <w:noWrap w:val="0"/>
            <w:vAlign w:val="center"/>
          </w:tcPr>
          <w:p w14:paraId="573E6042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4859" w:type="dxa"/>
            <w:noWrap w:val="0"/>
            <w:vAlign w:val="top"/>
          </w:tcPr>
          <w:p w14:paraId="5ACFA4BE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bookmarkStart w:id="8" w:name="OLE_LINK49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EG电极支撑，304或316L不锈钢</w:t>
            </w:r>
            <w:bookmarkStart w:id="9" w:name="OLE_LINK29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磁导率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μ≤</w:t>
            </w:r>
            <w:r>
              <w:rPr>
                <w:rFonts w:ascii="等线" w:hAnsi="等线" w:eastAsia="等线"/>
                <w:color w:val="auto"/>
                <w:highlight w:val="none"/>
              </w:rPr>
              <w:t xml:space="preserve"> 1.2</w:t>
            </w:r>
            <w:bookmarkEnd w:id="9"/>
            <w:r>
              <w:rPr>
                <w:rFonts w:hint="eastAsia" w:ascii="等线" w:hAnsi="等线" w:eastAsia="等线"/>
                <w:color w:val="auto"/>
                <w:highlight w:val="none"/>
              </w:rPr>
              <w:t>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整体锻料加工，</w:t>
            </w:r>
            <w:bookmarkStart w:id="10" w:name="OLE_LINK22"/>
            <w:r>
              <w:rPr>
                <w:rFonts w:hint="eastAsia"/>
                <w:bCs/>
                <w:color w:val="auto"/>
                <w:szCs w:val="21"/>
                <w:highlight w:val="none"/>
              </w:rPr>
              <w:t>尺寸约700mm×550mm，高度530mm，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025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，平行度0.1mm。</w:t>
            </w:r>
            <w:bookmarkEnd w:id="8"/>
            <w:bookmarkEnd w:id="10"/>
          </w:p>
        </w:tc>
      </w:tr>
      <w:tr w14:paraId="53648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51" w:type="dxa"/>
            <w:noWrap w:val="0"/>
            <w:vAlign w:val="center"/>
          </w:tcPr>
          <w:p w14:paraId="49129A98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2228B8F3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背板</w:t>
            </w:r>
          </w:p>
        </w:tc>
        <w:tc>
          <w:tcPr>
            <w:tcW w:w="992" w:type="dxa"/>
            <w:noWrap w:val="0"/>
            <w:vAlign w:val="center"/>
          </w:tcPr>
          <w:p w14:paraId="14873AF3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2套</w:t>
            </w:r>
          </w:p>
        </w:tc>
        <w:tc>
          <w:tcPr>
            <w:tcW w:w="4859" w:type="dxa"/>
            <w:noWrap w:val="0"/>
            <w:vAlign w:val="top"/>
          </w:tcPr>
          <w:p w14:paraId="5D63CB9A">
            <w:pPr>
              <w:adjustRightInd w:val="0"/>
              <w:snapToGrid w:val="0"/>
              <w:jc w:val="left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316L不锈钢和铬锆铜真空扩散焊，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尺寸约820mm×450mm，高度35mm，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，平行度0.5mm。</w:t>
            </w:r>
          </w:p>
        </w:tc>
      </w:tr>
      <w:tr w14:paraId="23B82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51" w:type="dxa"/>
            <w:noWrap w:val="0"/>
            <w:vAlign w:val="center"/>
          </w:tcPr>
          <w:p w14:paraId="3B1DB3AA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7097AE77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加速器电极水管</w:t>
            </w:r>
          </w:p>
        </w:tc>
        <w:tc>
          <w:tcPr>
            <w:tcW w:w="992" w:type="dxa"/>
            <w:noWrap w:val="0"/>
            <w:vAlign w:val="center"/>
          </w:tcPr>
          <w:p w14:paraId="5C4A958E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2套</w:t>
            </w:r>
          </w:p>
        </w:tc>
        <w:tc>
          <w:tcPr>
            <w:tcW w:w="4859" w:type="dxa"/>
            <w:noWrap w:val="0"/>
            <w:vAlign w:val="top"/>
          </w:tcPr>
          <w:p w14:paraId="72B58517">
            <w:pPr>
              <w:adjustRightInd w:val="0"/>
              <w:snapToGrid w:val="0"/>
              <w:jc w:val="left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耐压不低于2MPa，316不锈钢材质，采用优质波纹管，供应商为：BOA Group（博瓦）, Swagelok（世伟洛克）、ROTAEX SMT或Witzenmann（威茨曼）其中一家。</w:t>
            </w:r>
          </w:p>
        </w:tc>
      </w:tr>
    </w:tbl>
    <w:p w14:paraId="1FF348F5">
      <w:pPr>
        <w:adjustRightInd w:val="0"/>
        <w:snapToGrid w:val="0"/>
        <w:spacing w:line="360" w:lineRule="auto"/>
        <w:ind w:firstLine="420" w:firstLineChars="200"/>
        <w:rPr>
          <w:bCs/>
          <w:color w:val="auto"/>
          <w:szCs w:val="21"/>
          <w:highlight w:val="none"/>
        </w:rPr>
      </w:pPr>
      <w:bookmarkStart w:id="11" w:name="OLE_LINK15"/>
      <w:r>
        <w:rPr>
          <w:rFonts w:hint="eastAsia"/>
          <w:bCs/>
          <w:color w:val="auto"/>
          <w:szCs w:val="21"/>
          <w:highlight w:val="none"/>
        </w:rPr>
        <w:t>电极上要加载高压，要求其表面的粗燥度低于Ra 1.6，不允许有刮痕和凹痕，其截面要消除毛刺。加工后需要进行去除硫化物的处理，并且要用氦气进行检漏，漏率不能超过5.0×10</w:t>
      </w:r>
      <w:r>
        <w:rPr>
          <w:rFonts w:hint="eastAsia"/>
          <w:bCs/>
          <w:color w:val="auto"/>
          <w:szCs w:val="21"/>
          <w:highlight w:val="none"/>
          <w:vertAlign w:val="superscript"/>
        </w:rPr>
        <w:t>-10</w:t>
      </w:r>
      <w:r>
        <w:rPr>
          <w:rFonts w:hint="eastAsia"/>
          <w:bCs/>
          <w:color w:val="auto"/>
          <w:szCs w:val="21"/>
          <w:highlight w:val="none"/>
        </w:rPr>
        <w:t>Pa</w:t>
      </w:r>
      <w:r>
        <w:rPr>
          <w:bCs/>
          <w:color w:val="auto"/>
          <w:szCs w:val="21"/>
          <w:highlight w:val="none"/>
        </w:rPr>
        <w:t>▪</w:t>
      </w:r>
      <w:r>
        <w:rPr>
          <w:rFonts w:hint="eastAsia"/>
          <w:bCs/>
          <w:color w:val="auto"/>
          <w:szCs w:val="21"/>
          <w:highlight w:val="none"/>
        </w:rPr>
        <w:t>m</w:t>
      </w:r>
      <w:r>
        <w:rPr>
          <w:rFonts w:hint="eastAsia"/>
          <w:bCs/>
          <w:color w:val="auto"/>
          <w:szCs w:val="21"/>
          <w:highlight w:val="none"/>
          <w:vertAlign w:val="superscript"/>
        </w:rPr>
        <w:t>3</w:t>
      </w:r>
      <w:r>
        <w:rPr>
          <w:rFonts w:hint="eastAsia"/>
          <w:bCs/>
          <w:color w:val="auto"/>
          <w:szCs w:val="21"/>
          <w:highlight w:val="none"/>
        </w:rPr>
        <w:t>/s。因电极要承受较高的热量沉积，需要采用特殊的焊接方式，电极板采用真空扩散焊接成型。</w:t>
      </w:r>
    </w:p>
    <w:p w14:paraId="75FF1A4C">
      <w:pPr>
        <w:adjustRightInd w:val="0"/>
        <w:snapToGrid w:val="0"/>
        <w:spacing w:line="360" w:lineRule="auto"/>
        <w:ind w:firstLine="422" w:firstLineChars="200"/>
        <w:rPr>
          <w:rFonts w:hint="eastAsia"/>
          <w:b/>
          <w:color w:val="auto"/>
          <w:sz w:val="24"/>
          <w:highlight w:val="none"/>
        </w:rPr>
      </w:pPr>
      <w:r>
        <w:rPr>
          <w:rFonts w:hint="eastAsia"/>
          <w:b/>
          <w:color w:val="auto"/>
          <w:szCs w:val="21"/>
          <w:highlight w:val="none"/>
        </w:rPr>
        <w:t>由于项目复杂性需要现场探勘，联系人：费宇恒，手机：19965019645，投标方投标时，需要给出初步的设计方案和加工制造方案，投标方中标后需要给出完整的三维模型（CATIA绘制）和加工CAD图纸。</w:t>
      </w:r>
    </w:p>
    <w:bookmarkEnd w:id="11"/>
    <w:p w14:paraId="6A05FE4C">
      <w:pPr>
        <w:adjustRightInd w:val="0"/>
        <w:snapToGrid w:val="0"/>
        <w:spacing w:before="120" w:beforeLines="50" w:line="360" w:lineRule="auto"/>
        <w:rPr>
          <w:rFonts w:hint="eastAsia"/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>工程技术要求</w:t>
      </w:r>
      <w:bookmarkEnd w:id="0"/>
      <w:bookmarkEnd w:id="1"/>
      <w:bookmarkEnd w:id="2"/>
      <w:bookmarkEnd w:id="3"/>
      <w:bookmarkEnd w:id="4"/>
      <w:bookmarkEnd w:id="5"/>
    </w:p>
    <w:p w14:paraId="44A7485E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</w:t>
      </w:r>
      <w:r>
        <w:rPr>
          <w:rFonts w:hint="eastAsia"/>
          <w:b/>
          <w:color w:val="auto"/>
          <w:sz w:val="24"/>
          <w:highlight w:val="none"/>
        </w:rPr>
        <w:t>1、</w:t>
      </w:r>
      <w:r>
        <w:rPr>
          <w:b/>
          <w:color w:val="auto"/>
          <w:sz w:val="24"/>
          <w:highlight w:val="none"/>
        </w:rPr>
        <w:t>设备的主要用途及功能</w:t>
      </w:r>
    </w:p>
    <w:p w14:paraId="7D667C4D">
      <w:pPr>
        <w:spacing w:line="360" w:lineRule="auto"/>
        <w:ind w:firstLine="420" w:firstLineChars="200"/>
        <w:rPr>
          <w:rFonts w:ascii="宋体" w:hAnsi="宋体"/>
          <w:color w:val="auto"/>
          <w:szCs w:val="21"/>
          <w:highlight w:val="none"/>
        </w:rPr>
      </w:pPr>
      <w:r>
        <w:rPr>
          <w:rFonts w:hint="eastAsia" w:ascii="宋体" w:hAnsi="宋体"/>
          <w:color w:val="auto"/>
          <w:szCs w:val="21"/>
          <w:highlight w:val="none"/>
        </w:rPr>
        <w:t>兆瓦级强流离子源是中性束注入器的关键部件，而强流离子源的优质研制成功将极大的促进中性注入器的发展。强流离子源主要包括等离子体发生器和加速器系统，其中</w:t>
      </w:r>
      <w:r>
        <w:rPr>
          <w:rFonts w:ascii="宋体" w:hAnsi="宋体"/>
          <w:color w:val="auto"/>
          <w:szCs w:val="21"/>
          <w:highlight w:val="none"/>
        </w:rPr>
        <w:t>离子源加速器电极和背板</w:t>
      </w:r>
      <w:r>
        <w:rPr>
          <w:rFonts w:hint="eastAsia" w:ascii="宋体" w:hAnsi="宋体"/>
          <w:color w:val="auto"/>
          <w:szCs w:val="21"/>
          <w:highlight w:val="none"/>
        </w:rPr>
        <w:t>是离子源重要部件，现就该零部件进行招标。</w:t>
      </w:r>
    </w:p>
    <w:p w14:paraId="5B220A80">
      <w:pPr>
        <w:spacing w:line="360" w:lineRule="auto"/>
        <w:jc w:val="center"/>
        <w:rPr>
          <w:rFonts w:ascii="宋体" w:hAnsi="宋体"/>
          <w:color w:val="auto"/>
          <w:szCs w:val="21"/>
          <w:highlight w:val="none"/>
        </w:rPr>
      </w:pPr>
      <w:bookmarkStart w:id="12" w:name="OLE_LINK25"/>
      <w:r>
        <w:rPr>
          <w:rFonts w:ascii="宋体" w:hAnsi="宋体"/>
          <w:color w:val="auto"/>
          <w:szCs w:val="21"/>
          <w:highlight w:val="none"/>
        </w:rPr>
        <w:drawing>
          <wp:inline distT="0" distB="0" distL="114300" distR="114300">
            <wp:extent cx="3173095" cy="2436495"/>
            <wp:effectExtent l="0" t="0" r="12065" b="1905"/>
            <wp:docPr id="3" name="图片 1" descr="76560c1c1da845d4df83b0ce40cbf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76560c1c1da845d4df83b0ce40cbf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347B">
      <w:pPr>
        <w:spacing w:line="360" w:lineRule="auto"/>
        <w:jc w:val="center"/>
        <w:rPr>
          <w:rFonts w:hint="eastAsia" w:ascii="宋体" w:hAnsi="宋体"/>
          <w:b/>
          <w:bCs/>
          <w:color w:val="auto"/>
          <w:szCs w:val="21"/>
          <w:highlight w:val="none"/>
        </w:rPr>
      </w:pPr>
      <w:bookmarkStart w:id="13" w:name="OLE_LINK24"/>
      <w:r>
        <w:rPr>
          <w:rFonts w:hint="eastAsia" w:ascii="宋体" w:hAnsi="宋体"/>
          <w:b/>
          <w:bCs/>
          <w:color w:val="auto"/>
          <w:szCs w:val="21"/>
          <w:highlight w:val="none"/>
        </w:rPr>
        <w:t>图1离子源结构概念示意图</w:t>
      </w:r>
    </w:p>
    <w:bookmarkEnd w:id="13"/>
    <w:p w14:paraId="648E0955">
      <w:pPr>
        <w:spacing w:line="360" w:lineRule="auto"/>
        <w:rPr>
          <w:color w:val="auto"/>
          <w:highlight w:val="none"/>
        </w:rPr>
      </w:pPr>
      <w:bookmarkStart w:id="14" w:name="_Hlk228021278"/>
      <w:r>
        <w:rPr>
          <w:color w:val="auto"/>
          <w:highlight w:val="none"/>
        </w:rPr>
        <w:drawing>
          <wp:inline distT="0" distB="0" distL="114300" distR="114300">
            <wp:extent cx="6125210" cy="2634615"/>
            <wp:effectExtent l="0" t="0" r="1270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7B50">
      <w:pPr>
        <w:spacing w:line="360" w:lineRule="auto"/>
        <w:jc w:val="center"/>
        <w:rPr>
          <w:rFonts w:ascii="宋体" w:hAnsi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/>
          <w:b/>
          <w:bCs/>
          <w:color w:val="auto"/>
          <w:szCs w:val="21"/>
          <w:highlight w:val="none"/>
        </w:rPr>
        <w:t>图2离子源加速器概念示意图</w:t>
      </w:r>
    </w:p>
    <w:bookmarkEnd w:id="14"/>
    <w:p w14:paraId="6768B1B2">
      <w:pPr>
        <w:spacing w:line="360" w:lineRule="auto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748280" cy="1845945"/>
            <wp:effectExtent l="0" t="0" r="10160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750E">
      <w:pPr>
        <w:spacing w:line="360" w:lineRule="auto"/>
        <w:jc w:val="center"/>
        <w:rPr>
          <w:rFonts w:ascii="宋体" w:hAnsi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/>
          <w:b/>
          <w:bCs/>
          <w:color w:val="auto"/>
          <w:szCs w:val="21"/>
          <w:highlight w:val="none"/>
        </w:rPr>
        <w:t>图3离子源电极S型水道结构示意图</w:t>
      </w:r>
    </w:p>
    <w:p w14:paraId="0FCCA3FF">
      <w:pPr>
        <w:spacing w:line="360" w:lineRule="auto"/>
        <w:jc w:val="center"/>
        <w:rPr>
          <w:rFonts w:hint="eastAsia" w:ascii="宋体" w:hAnsi="宋体"/>
          <w:b/>
          <w:bCs/>
          <w:color w:val="auto"/>
          <w:szCs w:val="21"/>
          <w:highlight w:val="none"/>
        </w:rPr>
      </w:pPr>
    </w:p>
    <w:bookmarkEnd w:id="12"/>
    <w:p w14:paraId="4F3CE0AE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</w:t>
      </w:r>
      <w:r>
        <w:rPr>
          <w:rFonts w:hint="eastAsia"/>
          <w:b/>
          <w:color w:val="auto"/>
          <w:sz w:val="24"/>
          <w:highlight w:val="none"/>
        </w:rPr>
        <w:t xml:space="preserve">2、 </w:t>
      </w:r>
      <w:r>
        <w:rPr>
          <w:b/>
          <w:color w:val="auto"/>
          <w:sz w:val="24"/>
          <w:highlight w:val="none"/>
        </w:rPr>
        <w:t>工作条件</w:t>
      </w:r>
    </w:p>
    <w:p w14:paraId="1EC9DC35">
      <w:pPr>
        <w:spacing w:line="480" w:lineRule="auto"/>
        <w:ind w:firstLine="420" w:firstLineChars="200"/>
        <w:rPr>
          <w:rFonts w:ascii="宋体" w:hAnsi="宋体"/>
          <w:color w:val="auto"/>
          <w:szCs w:val="21"/>
          <w:highlight w:val="none"/>
        </w:rPr>
      </w:pPr>
      <w:r>
        <w:rPr>
          <w:rFonts w:hint="eastAsia" w:ascii="宋体" w:hAnsi="宋体"/>
          <w:color w:val="auto"/>
          <w:highlight w:val="none"/>
        </w:rPr>
        <w:t>离子源加速器电极和背板工作在真空度约5.0×10</w:t>
      </w:r>
      <w:r>
        <w:rPr>
          <w:rFonts w:hint="eastAsia" w:ascii="宋体" w:hAnsi="宋体"/>
          <w:color w:val="auto"/>
          <w:highlight w:val="none"/>
          <w:vertAlign w:val="superscript"/>
        </w:rPr>
        <w:t>-3</w:t>
      </w:r>
      <w:r>
        <w:rPr>
          <w:rFonts w:hint="eastAsia" w:ascii="宋体" w:hAnsi="宋体"/>
          <w:color w:val="auto"/>
          <w:highlight w:val="none"/>
        </w:rPr>
        <w:t xml:space="preserve"> Pa</w:t>
      </w:r>
      <w:r>
        <w:rPr>
          <w:rFonts w:hint="eastAsia" w:ascii="宋体" w:hAnsi="宋体"/>
          <w:color w:val="auto"/>
          <w:highlight w:val="none"/>
          <w:lang w:val="en-GB"/>
        </w:rPr>
        <w:t>的真空环境中，</w:t>
      </w:r>
      <w:r>
        <w:rPr>
          <w:rFonts w:hint="eastAsia" w:ascii="宋体" w:hAnsi="宋体"/>
          <w:color w:val="auto"/>
          <w:szCs w:val="21"/>
          <w:highlight w:val="none"/>
        </w:rPr>
        <w:t>长期工作在温度150摄氏度以上</w:t>
      </w:r>
      <w:r>
        <w:rPr>
          <w:rFonts w:hint="eastAsia" w:ascii="宋体" w:hAnsi="宋体"/>
          <w:color w:val="auto"/>
          <w:highlight w:val="none"/>
          <w:lang w:val="en-GB"/>
        </w:rPr>
        <w:t>。</w:t>
      </w:r>
    </w:p>
    <w:p w14:paraId="1DABF794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</w:t>
      </w:r>
      <w:r>
        <w:rPr>
          <w:rFonts w:hint="eastAsia"/>
          <w:b/>
          <w:color w:val="auto"/>
          <w:sz w:val="24"/>
          <w:highlight w:val="none"/>
        </w:rPr>
        <w:t>3、</w:t>
      </w:r>
      <w:r>
        <w:rPr>
          <w:b/>
          <w:color w:val="auto"/>
          <w:sz w:val="24"/>
          <w:highlight w:val="none"/>
        </w:rPr>
        <w:t xml:space="preserve"> 技术性能指标要求</w:t>
      </w:r>
    </w:p>
    <w:p w14:paraId="25936221">
      <w:pPr>
        <w:adjustRightInd w:val="0"/>
        <w:snapToGrid w:val="0"/>
        <w:spacing w:line="360" w:lineRule="auto"/>
        <w:ind w:firstLine="482" w:firstLineChars="200"/>
        <w:jc w:val="center"/>
        <w:rPr>
          <w:rFonts w:hint="eastAsia"/>
          <w:b/>
          <w:bCs/>
          <w:color w:val="auto"/>
          <w:sz w:val="24"/>
          <w:highlight w:val="none"/>
        </w:rPr>
      </w:pPr>
      <w:r>
        <w:rPr>
          <w:rFonts w:hint="eastAsia"/>
          <w:b/>
          <w:bCs/>
          <w:color w:val="auto"/>
          <w:sz w:val="24"/>
          <w:highlight w:val="none"/>
        </w:rPr>
        <w:t>表1技术要求</w:t>
      </w:r>
    </w:p>
    <w:tbl>
      <w:tblPr>
        <w:tblStyle w:val="3"/>
        <w:tblW w:w="458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"/>
        <w:gridCol w:w="1737"/>
        <w:gridCol w:w="3663"/>
        <w:gridCol w:w="1795"/>
      </w:tblGrid>
      <w:tr w14:paraId="27FB3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398" w:type="pct"/>
            <w:noWrap w:val="0"/>
            <w:vAlign w:val="top"/>
          </w:tcPr>
          <w:p w14:paraId="1668FE5D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1111" w:type="pct"/>
            <w:noWrap w:val="0"/>
            <w:vAlign w:val="top"/>
          </w:tcPr>
          <w:p w14:paraId="013A79FB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参数名称</w:t>
            </w:r>
          </w:p>
        </w:tc>
        <w:tc>
          <w:tcPr>
            <w:tcW w:w="2343" w:type="pct"/>
            <w:noWrap w:val="0"/>
            <w:vAlign w:val="top"/>
          </w:tcPr>
          <w:p w14:paraId="4585CE57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参数值</w:t>
            </w:r>
          </w:p>
        </w:tc>
        <w:tc>
          <w:tcPr>
            <w:tcW w:w="1148" w:type="pct"/>
            <w:noWrap w:val="0"/>
            <w:vAlign w:val="top"/>
          </w:tcPr>
          <w:p w14:paraId="2C9F92F7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备注</w:t>
            </w:r>
          </w:p>
        </w:tc>
      </w:tr>
      <w:tr w14:paraId="155A0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398" w:type="pct"/>
            <w:noWrap w:val="0"/>
            <w:vAlign w:val="center"/>
          </w:tcPr>
          <w:p w14:paraId="7E86D416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1111" w:type="pct"/>
            <w:noWrap w:val="0"/>
            <w:vAlign w:val="center"/>
          </w:tcPr>
          <w:p w14:paraId="6049E9E8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金属材料</w:t>
            </w:r>
          </w:p>
        </w:tc>
        <w:tc>
          <w:tcPr>
            <w:tcW w:w="2343" w:type="pct"/>
            <w:noWrap w:val="0"/>
            <w:vAlign w:val="top"/>
          </w:tcPr>
          <w:p w14:paraId="153DB8D3">
            <w:pPr>
              <w:spacing w:line="360" w:lineRule="auto"/>
              <w:ind w:firstLine="1260" w:firstLineChars="6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钼（≥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99.9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%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）</w:t>
            </w:r>
          </w:p>
        </w:tc>
        <w:tc>
          <w:tcPr>
            <w:tcW w:w="1148" w:type="pct"/>
            <w:noWrap w:val="0"/>
            <w:vAlign w:val="center"/>
          </w:tcPr>
          <w:p w14:paraId="188FE708">
            <w:pPr>
              <w:spacing w:line="360" w:lineRule="auto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验收交货时提供材质证明</w:t>
            </w:r>
          </w:p>
        </w:tc>
      </w:tr>
      <w:tr w14:paraId="018FD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398" w:type="pct"/>
            <w:noWrap w:val="0"/>
            <w:vAlign w:val="center"/>
          </w:tcPr>
          <w:p w14:paraId="2730FF4E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111" w:type="pct"/>
            <w:noWrap w:val="0"/>
            <w:vAlign w:val="center"/>
          </w:tcPr>
          <w:p w14:paraId="28808AB8">
            <w:pPr>
              <w:spacing w:line="360" w:lineRule="auto"/>
              <w:ind w:firstLine="210" w:firstLineChars="1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整体尺寸误差</w:t>
            </w:r>
          </w:p>
        </w:tc>
        <w:tc>
          <w:tcPr>
            <w:tcW w:w="2343" w:type="pct"/>
            <w:noWrap w:val="0"/>
            <w:vAlign w:val="top"/>
          </w:tcPr>
          <w:p w14:paraId="6E137E3B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03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</w:p>
        </w:tc>
        <w:tc>
          <w:tcPr>
            <w:tcW w:w="1148" w:type="pct"/>
            <w:noWrap w:val="0"/>
            <w:vAlign w:val="center"/>
          </w:tcPr>
          <w:p w14:paraId="771D8863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3257A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398" w:type="pct"/>
            <w:noWrap w:val="0"/>
            <w:vAlign w:val="center"/>
          </w:tcPr>
          <w:p w14:paraId="6163ECB7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1111" w:type="pct"/>
            <w:noWrap w:val="0"/>
            <w:vAlign w:val="center"/>
          </w:tcPr>
          <w:p w14:paraId="2C3597EE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水道耐压</w:t>
            </w:r>
          </w:p>
        </w:tc>
        <w:tc>
          <w:tcPr>
            <w:tcW w:w="2343" w:type="pct"/>
            <w:noWrap w:val="0"/>
            <w:vAlign w:val="top"/>
          </w:tcPr>
          <w:p w14:paraId="0FBD8D78">
            <w:pPr>
              <w:spacing w:line="360" w:lineRule="auto"/>
              <w:ind w:firstLine="1260" w:firstLineChars="6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1.5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MPa</w:t>
            </w:r>
          </w:p>
        </w:tc>
        <w:tc>
          <w:tcPr>
            <w:tcW w:w="1148" w:type="pct"/>
            <w:noWrap w:val="0"/>
            <w:vAlign w:val="center"/>
          </w:tcPr>
          <w:p w14:paraId="600054CC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15022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398" w:type="pct"/>
            <w:noWrap w:val="0"/>
            <w:vAlign w:val="center"/>
          </w:tcPr>
          <w:p w14:paraId="56EB95DE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1111" w:type="pct"/>
            <w:noWrap w:val="0"/>
            <w:vAlign w:val="center"/>
          </w:tcPr>
          <w:p w14:paraId="4A41E493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水道漏率</w:t>
            </w:r>
          </w:p>
        </w:tc>
        <w:tc>
          <w:tcPr>
            <w:tcW w:w="2343" w:type="pct"/>
            <w:noWrap w:val="0"/>
            <w:vAlign w:val="top"/>
          </w:tcPr>
          <w:p w14:paraId="345AB103">
            <w:pPr>
              <w:spacing w:line="360" w:lineRule="auto"/>
              <w:ind w:firstLine="840" w:firstLineChars="4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≤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5.0×10</w:t>
            </w:r>
            <w:r>
              <w:rPr>
                <w:rFonts w:ascii="宋体" w:hAnsi="宋体"/>
                <w:color w:val="auto"/>
                <w:szCs w:val="21"/>
                <w:highlight w:val="none"/>
                <w:vertAlign w:val="superscript"/>
              </w:rPr>
              <w:t>-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  <w:vertAlign w:val="superscript"/>
              </w:rPr>
              <w:t>10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 xml:space="preserve"> Pa·m</w:t>
            </w:r>
            <w:r>
              <w:rPr>
                <w:rFonts w:ascii="宋体" w:hAnsi="宋体"/>
                <w:color w:val="auto"/>
                <w:szCs w:val="21"/>
                <w:highlight w:val="none"/>
                <w:vertAlign w:val="superscript"/>
              </w:rPr>
              <w:t>3</w:t>
            </w:r>
            <w:r>
              <w:rPr>
                <w:rFonts w:ascii="宋体" w:hAnsi="宋体"/>
                <w:color w:val="auto"/>
                <w:szCs w:val="21"/>
                <w:highlight w:val="none"/>
                <w:lang w:val="en-GB"/>
              </w:rPr>
              <w:t>/s</w:t>
            </w:r>
          </w:p>
        </w:tc>
        <w:tc>
          <w:tcPr>
            <w:tcW w:w="1148" w:type="pct"/>
            <w:noWrap w:val="0"/>
            <w:vAlign w:val="top"/>
          </w:tcPr>
          <w:p w14:paraId="668BB564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59262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398" w:type="pct"/>
            <w:noWrap w:val="0"/>
            <w:vAlign w:val="center"/>
          </w:tcPr>
          <w:p w14:paraId="36348248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1111" w:type="pct"/>
            <w:noWrap w:val="0"/>
            <w:vAlign w:val="center"/>
          </w:tcPr>
          <w:p w14:paraId="7100B519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焊接方法</w:t>
            </w:r>
          </w:p>
        </w:tc>
        <w:tc>
          <w:tcPr>
            <w:tcW w:w="2343" w:type="pct"/>
            <w:noWrap w:val="0"/>
            <w:vAlign w:val="top"/>
          </w:tcPr>
          <w:p w14:paraId="25104BC7">
            <w:pPr>
              <w:spacing w:line="360" w:lineRule="auto"/>
              <w:ind w:firstLine="1260" w:firstLineChars="600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 xml:space="preserve">真空扩散焊 </w:t>
            </w:r>
          </w:p>
        </w:tc>
        <w:tc>
          <w:tcPr>
            <w:tcW w:w="1148" w:type="pct"/>
            <w:noWrap w:val="0"/>
            <w:vAlign w:val="top"/>
          </w:tcPr>
          <w:p w14:paraId="2D847C0D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7C80D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398" w:type="pct"/>
            <w:noWrap w:val="0"/>
            <w:vAlign w:val="center"/>
          </w:tcPr>
          <w:p w14:paraId="4A258926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6</w:t>
            </w:r>
          </w:p>
        </w:tc>
        <w:tc>
          <w:tcPr>
            <w:tcW w:w="1111" w:type="pct"/>
            <w:noWrap w:val="0"/>
            <w:vAlign w:val="center"/>
          </w:tcPr>
          <w:p w14:paraId="32B65EE8">
            <w:pPr>
              <w:spacing w:line="360" w:lineRule="auto"/>
              <w:ind w:firstLine="420" w:firstLineChars="200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表面粗糙度</w:t>
            </w:r>
          </w:p>
        </w:tc>
        <w:tc>
          <w:tcPr>
            <w:tcW w:w="2343" w:type="pct"/>
            <w:noWrap w:val="0"/>
            <w:vAlign w:val="top"/>
          </w:tcPr>
          <w:p w14:paraId="2183F3BF">
            <w:pPr>
              <w:spacing w:line="360" w:lineRule="auto"/>
              <w:ind w:firstLine="1260" w:firstLineChars="600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bookmarkStart w:id="15" w:name="OLE_LINK19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≤</w:t>
            </w:r>
            <w:bookmarkEnd w:id="15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Ra 1.6</w:t>
            </w:r>
          </w:p>
        </w:tc>
        <w:tc>
          <w:tcPr>
            <w:tcW w:w="1148" w:type="pct"/>
            <w:noWrap w:val="0"/>
            <w:vAlign w:val="top"/>
          </w:tcPr>
          <w:p w14:paraId="5821D995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</w:tbl>
    <w:p w14:paraId="5ADCF46B">
      <w:pPr>
        <w:adjustRightInd w:val="0"/>
        <w:snapToGrid w:val="0"/>
        <w:spacing w:before="120" w:beforeLines="50" w:line="360" w:lineRule="auto"/>
        <w:rPr>
          <w:rFonts w:hint="eastAsia"/>
          <w:color w:val="auto"/>
          <w:szCs w:val="21"/>
          <w:highlight w:val="none"/>
        </w:rPr>
      </w:pPr>
    </w:p>
    <w:p w14:paraId="5D421D72">
      <w:bookmarkStart w:id="16" w:name="_GoBack"/>
      <w:bookmarkEnd w:id="1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A32462"/>
    <w:rsid w:val="05A3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2026-05-06T07:33:00Z</dcterms:created>
  <dc:creator>宋方方</dc:creator>
  <cp:lastModifiedBy>宋方方</cp:lastModifiedBy>
  <dcterms:modified xsi:type="dcterms:W3CDTF">2026-05-06T07:34:05Z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9A3014D9E48947FBAC6D5D0F89ABD16C_11</vt:lpwstr>
  </property>
  <property fmtid="{D5CDD505-2E9C-101B-9397-08002B2CF9AE}" pid="4" name="KSOTemplateDocerSaveRecord">
    <vt:lpwstr>eyJoZGlkIjoiY2ZjZDI4YmRkZDY3MGZmNjNjY2JiZTFlYmI4OWM0ZWEiLCJ1c2VySWQiOiIxNzYzODEyODI4In0=</vt:lpwstr>
  </property>
</Properties>
</file>