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13B12" w14:textId="77777777" w:rsidR="00B409C0" w:rsidRDefault="00B409C0" w:rsidP="00B409C0">
      <w:pPr>
        <w:tabs>
          <w:tab w:val="left" w:pos="1620"/>
          <w:tab w:val="left" w:pos="5162"/>
        </w:tabs>
        <w:spacing w:beforeLines="50" w:before="156" w:afterLines="50" w:after="156"/>
        <w:jc w:val="center"/>
        <w:outlineLvl w:val="0"/>
        <w:rPr>
          <w:rFonts w:ascii="宋体" w:hAnsi="宋体" w:hint="eastAsia"/>
          <w:b/>
          <w:color w:val="000000"/>
          <w:sz w:val="48"/>
          <w:szCs w:val="48"/>
        </w:rPr>
      </w:pPr>
      <w:r>
        <w:rPr>
          <w:rFonts w:ascii="宋体" w:hAnsi="宋体" w:hint="eastAsia"/>
          <w:b/>
          <w:color w:val="000000"/>
          <w:sz w:val="48"/>
          <w:szCs w:val="48"/>
        </w:rPr>
        <w:t>第七章 采购</w:t>
      </w:r>
      <w:r>
        <w:rPr>
          <w:rFonts w:ascii="宋体" w:hAnsi="宋体"/>
          <w:b/>
          <w:color w:val="000000"/>
          <w:sz w:val="48"/>
          <w:szCs w:val="48"/>
        </w:rPr>
        <w:t>需求</w:t>
      </w:r>
    </w:p>
    <w:p w14:paraId="5A03F66E" w14:textId="77777777" w:rsidR="00B409C0" w:rsidRDefault="00B409C0" w:rsidP="00B409C0">
      <w:pPr>
        <w:numPr>
          <w:ilvl w:val="0"/>
          <w:numId w:val="1"/>
        </w:numPr>
        <w:adjustRightInd w:val="0"/>
        <w:snapToGrid w:val="0"/>
        <w:spacing w:beforeLines="50" w:before="156" w:after="160" w:line="278" w:lineRule="auto"/>
        <w:jc w:val="left"/>
        <w:rPr>
          <w:rFonts w:ascii="宋体" w:hAnsi="宋体" w:cs="Arial" w:hint="eastAsia"/>
          <w:b/>
          <w:color w:val="000000"/>
          <w:sz w:val="24"/>
        </w:rPr>
      </w:pPr>
      <w:r>
        <w:rPr>
          <w:rFonts w:ascii="宋体" w:hAnsi="宋体" w:cs="Arial"/>
          <w:b/>
          <w:color w:val="000000"/>
          <w:sz w:val="24"/>
        </w:rPr>
        <w:t>货物需求一览表</w:t>
      </w:r>
    </w:p>
    <w:p w14:paraId="6511D272" w14:textId="77777777" w:rsidR="00B409C0" w:rsidRDefault="00B409C0" w:rsidP="00B409C0">
      <w:pPr>
        <w:adjustRightInd w:val="0"/>
        <w:snapToGrid w:val="0"/>
        <w:spacing w:beforeLines="50" w:before="156" w:line="360" w:lineRule="auto"/>
        <w:rPr>
          <w:rFonts w:ascii="宋体" w:hAnsi="宋体" w:hint="eastAsia"/>
          <w:bCs/>
          <w:sz w:val="24"/>
        </w:rPr>
      </w:pPr>
      <w:r>
        <w:rPr>
          <w:rFonts w:ascii="宋体" w:hAnsi="宋体" w:hint="eastAsia"/>
          <w:bCs/>
          <w:sz w:val="24"/>
        </w:rPr>
        <w:t>本次采购标的物为扫描电子显微镜（含能谱仪）1台，下表为货物需求一览表：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268"/>
        <w:gridCol w:w="1193"/>
        <w:gridCol w:w="1418"/>
        <w:gridCol w:w="2205"/>
      </w:tblGrid>
      <w:tr w:rsidR="00B409C0" w14:paraId="5CE4C6EB" w14:textId="77777777" w:rsidTr="00D47D3C">
        <w:tc>
          <w:tcPr>
            <w:tcW w:w="1099" w:type="dxa"/>
          </w:tcPr>
          <w:p w14:paraId="77C33C3F" w14:textId="77777777" w:rsidR="00B409C0" w:rsidRDefault="00B409C0" w:rsidP="006F5663">
            <w:pPr>
              <w:adjustRightInd w:val="0"/>
              <w:snapToGrid w:val="0"/>
              <w:spacing w:beforeLines="50" w:before="156" w:line="360" w:lineRule="auto"/>
              <w:jc w:val="center"/>
              <w:rPr>
                <w:rFonts w:ascii="宋体" w:hAnsi="宋体" w:hint="eastAsia"/>
                <w:b/>
                <w:sz w:val="24"/>
              </w:rPr>
            </w:pPr>
            <w:r>
              <w:rPr>
                <w:rFonts w:ascii="宋体" w:hAnsi="宋体" w:hint="eastAsia"/>
                <w:b/>
                <w:sz w:val="24"/>
              </w:rPr>
              <w:t>序号</w:t>
            </w:r>
          </w:p>
        </w:tc>
        <w:tc>
          <w:tcPr>
            <w:tcW w:w="2268" w:type="dxa"/>
          </w:tcPr>
          <w:p w14:paraId="17EB3F1D" w14:textId="77777777" w:rsidR="00B409C0" w:rsidRDefault="00B409C0" w:rsidP="006F5663">
            <w:pPr>
              <w:adjustRightInd w:val="0"/>
              <w:snapToGrid w:val="0"/>
              <w:spacing w:beforeLines="50" w:before="156" w:line="360" w:lineRule="auto"/>
              <w:jc w:val="center"/>
              <w:rPr>
                <w:rFonts w:ascii="宋体" w:hAnsi="宋体" w:hint="eastAsia"/>
                <w:b/>
                <w:sz w:val="24"/>
              </w:rPr>
            </w:pPr>
            <w:r>
              <w:rPr>
                <w:rFonts w:ascii="宋体" w:hAnsi="宋体" w:hint="eastAsia"/>
                <w:b/>
                <w:sz w:val="24"/>
              </w:rPr>
              <w:t>货物名称</w:t>
            </w:r>
          </w:p>
        </w:tc>
        <w:tc>
          <w:tcPr>
            <w:tcW w:w="1193" w:type="dxa"/>
          </w:tcPr>
          <w:p w14:paraId="36E109B0" w14:textId="77777777" w:rsidR="00B409C0" w:rsidRDefault="00B409C0" w:rsidP="006F5663">
            <w:pPr>
              <w:adjustRightInd w:val="0"/>
              <w:snapToGrid w:val="0"/>
              <w:spacing w:beforeLines="50" w:before="156" w:line="360" w:lineRule="auto"/>
              <w:jc w:val="center"/>
              <w:rPr>
                <w:rFonts w:ascii="宋体" w:hAnsi="宋体" w:hint="eastAsia"/>
                <w:b/>
                <w:sz w:val="24"/>
              </w:rPr>
            </w:pPr>
            <w:r>
              <w:rPr>
                <w:rFonts w:ascii="宋体" w:hAnsi="宋体" w:hint="eastAsia"/>
                <w:b/>
                <w:sz w:val="24"/>
              </w:rPr>
              <w:t>数量</w:t>
            </w:r>
          </w:p>
        </w:tc>
        <w:tc>
          <w:tcPr>
            <w:tcW w:w="1418" w:type="dxa"/>
          </w:tcPr>
          <w:p w14:paraId="723D69B8" w14:textId="77777777" w:rsidR="00B409C0" w:rsidRDefault="00B409C0" w:rsidP="006F5663">
            <w:pPr>
              <w:adjustRightInd w:val="0"/>
              <w:snapToGrid w:val="0"/>
              <w:spacing w:beforeLines="50" w:before="156" w:line="360" w:lineRule="auto"/>
              <w:jc w:val="center"/>
              <w:rPr>
                <w:rFonts w:ascii="宋体" w:hAnsi="宋体" w:hint="eastAsia"/>
                <w:b/>
                <w:sz w:val="24"/>
              </w:rPr>
            </w:pPr>
            <w:r>
              <w:rPr>
                <w:rFonts w:ascii="宋体" w:hAnsi="宋体" w:hint="eastAsia"/>
                <w:b/>
                <w:sz w:val="24"/>
              </w:rPr>
              <w:t>单位</w:t>
            </w:r>
          </w:p>
        </w:tc>
        <w:tc>
          <w:tcPr>
            <w:tcW w:w="2205" w:type="dxa"/>
          </w:tcPr>
          <w:p w14:paraId="390DAE4E" w14:textId="77777777" w:rsidR="00B409C0" w:rsidRDefault="00B409C0" w:rsidP="006F5663">
            <w:pPr>
              <w:adjustRightInd w:val="0"/>
              <w:snapToGrid w:val="0"/>
              <w:spacing w:beforeLines="50" w:before="156" w:line="360" w:lineRule="auto"/>
              <w:jc w:val="center"/>
              <w:rPr>
                <w:rFonts w:ascii="宋体" w:hAnsi="宋体" w:hint="eastAsia"/>
                <w:b/>
                <w:sz w:val="24"/>
              </w:rPr>
            </w:pPr>
            <w:r>
              <w:rPr>
                <w:rFonts w:ascii="宋体" w:hAnsi="宋体" w:hint="eastAsia"/>
                <w:b/>
                <w:sz w:val="24"/>
              </w:rPr>
              <w:t>备注</w:t>
            </w:r>
          </w:p>
        </w:tc>
      </w:tr>
      <w:tr w:rsidR="00B409C0" w14:paraId="12FAEA8B" w14:textId="77777777" w:rsidTr="00D47D3C">
        <w:tc>
          <w:tcPr>
            <w:tcW w:w="1099" w:type="dxa"/>
          </w:tcPr>
          <w:p w14:paraId="4FB00461" w14:textId="77777777" w:rsidR="00B409C0" w:rsidRDefault="00B409C0" w:rsidP="006F5663">
            <w:pPr>
              <w:adjustRightInd w:val="0"/>
              <w:snapToGrid w:val="0"/>
              <w:spacing w:beforeLines="50" w:before="156" w:line="360" w:lineRule="auto"/>
              <w:jc w:val="center"/>
              <w:rPr>
                <w:rFonts w:ascii="宋体" w:hAnsi="宋体" w:hint="eastAsia"/>
                <w:bCs/>
                <w:sz w:val="24"/>
              </w:rPr>
            </w:pPr>
            <w:r>
              <w:rPr>
                <w:rFonts w:ascii="宋体" w:hAnsi="宋体" w:hint="eastAsia"/>
                <w:bCs/>
                <w:sz w:val="24"/>
              </w:rPr>
              <w:t>1</w:t>
            </w:r>
          </w:p>
        </w:tc>
        <w:tc>
          <w:tcPr>
            <w:tcW w:w="2268" w:type="dxa"/>
          </w:tcPr>
          <w:p w14:paraId="2EA4E35E" w14:textId="77777777" w:rsidR="00B409C0" w:rsidRDefault="00B409C0" w:rsidP="006F5663">
            <w:pPr>
              <w:adjustRightInd w:val="0"/>
              <w:snapToGrid w:val="0"/>
              <w:spacing w:beforeLines="50" w:before="156" w:line="360" w:lineRule="auto"/>
              <w:jc w:val="center"/>
              <w:rPr>
                <w:rFonts w:ascii="宋体" w:hAnsi="宋体" w:hint="eastAsia"/>
                <w:bCs/>
                <w:sz w:val="24"/>
              </w:rPr>
            </w:pPr>
            <w:r>
              <w:rPr>
                <w:rFonts w:ascii="宋体" w:hAnsi="宋体" w:hint="eastAsia"/>
                <w:bCs/>
                <w:sz w:val="24"/>
              </w:rPr>
              <w:t>扫</w:t>
            </w:r>
            <w:r w:rsidRPr="006F5663">
              <w:rPr>
                <w:rFonts w:ascii="宋体" w:hAnsi="宋体" w:hint="eastAsia"/>
                <w:bCs/>
                <w:sz w:val="24"/>
              </w:rPr>
              <w:t>描电子显微镜（含能谱仪）</w:t>
            </w:r>
          </w:p>
        </w:tc>
        <w:tc>
          <w:tcPr>
            <w:tcW w:w="1193" w:type="dxa"/>
          </w:tcPr>
          <w:p w14:paraId="06B356BB" w14:textId="77777777" w:rsidR="00B409C0" w:rsidRDefault="00B409C0" w:rsidP="006F5663">
            <w:pPr>
              <w:adjustRightInd w:val="0"/>
              <w:snapToGrid w:val="0"/>
              <w:spacing w:beforeLines="50" w:before="156" w:line="360" w:lineRule="auto"/>
              <w:jc w:val="center"/>
              <w:rPr>
                <w:rFonts w:ascii="宋体" w:hAnsi="宋体" w:hint="eastAsia"/>
                <w:bCs/>
                <w:sz w:val="24"/>
              </w:rPr>
            </w:pPr>
            <w:r>
              <w:rPr>
                <w:rFonts w:ascii="宋体" w:hAnsi="宋体" w:hint="eastAsia"/>
                <w:bCs/>
                <w:sz w:val="24"/>
              </w:rPr>
              <w:t>1</w:t>
            </w:r>
          </w:p>
        </w:tc>
        <w:tc>
          <w:tcPr>
            <w:tcW w:w="1418" w:type="dxa"/>
          </w:tcPr>
          <w:p w14:paraId="291305A6" w14:textId="77777777" w:rsidR="00B409C0" w:rsidRDefault="00B409C0" w:rsidP="006F5663">
            <w:pPr>
              <w:adjustRightInd w:val="0"/>
              <w:snapToGrid w:val="0"/>
              <w:spacing w:beforeLines="50" w:before="156" w:line="360" w:lineRule="auto"/>
              <w:jc w:val="center"/>
              <w:rPr>
                <w:rFonts w:ascii="宋体" w:hAnsi="宋体" w:hint="eastAsia"/>
                <w:bCs/>
                <w:sz w:val="24"/>
              </w:rPr>
            </w:pPr>
            <w:r>
              <w:rPr>
                <w:rFonts w:ascii="宋体" w:hAnsi="宋体" w:hint="eastAsia"/>
                <w:bCs/>
                <w:sz w:val="24"/>
              </w:rPr>
              <w:t>台</w:t>
            </w:r>
          </w:p>
        </w:tc>
        <w:tc>
          <w:tcPr>
            <w:tcW w:w="2205" w:type="dxa"/>
          </w:tcPr>
          <w:p w14:paraId="59CC703E" w14:textId="77777777" w:rsidR="00B409C0" w:rsidRDefault="00B409C0" w:rsidP="006F5663">
            <w:pPr>
              <w:adjustRightInd w:val="0"/>
              <w:snapToGrid w:val="0"/>
              <w:spacing w:beforeLines="50" w:before="156" w:line="360" w:lineRule="auto"/>
              <w:jc w:val="center"/>
              <w:rPr>
                <w:rFonts w:ascii="宋体" w:hAnsi="宋体" w:hint="eastAsia"/>
                <w:bCs/>
                <w:sz w:val="24"/>
              </w:rPr>
            </w:pPr>
            <w:r>
              <w:rPr>
                <w:rFonts w:ascii="宋体" w:hAnsi="宋体" w:hint="eastAsia"/>
                <w:bCs/>
                <w:sz w:val="24"/>
              </w:rPr>
              <w:t>含安装、培训、质保等服务</w:t>
            </w:r>
          </w:p>
        </w:tc>
      </w:tr>
    </w:tbl>
    <w:p w14:paraId="3F049F2D" w14:textId="77777777" w:rsidR="00B409C0" w:rsidRDefault="00B409C0" w:rsidP="00B409C0">
      <w:pPr>
        <w:adjustRightInd w:val="0"/>
        <w:snapToGrid w:val="0"/>
        <w:spacing w:beforeLines="50" w:before="156" w:line="360" w:lineRule="auto"/>
        <w:rPr>
          <w:rFonts w:ascii="宋体" w:hAnsi="宋体" w:hint="eastAsia"/>
          <w:bCs/>
          <w:sz w:val="24"/>
        </w:rPr>
      </w:pPr>
    </w:p>
    <w:p w14:paraId="2F5B6288" w14:textId="77777777" w:rsidR="00B409C0" w:rsidRDefault="00B409C0" w:rsidP="00B409C0">
      <w:pPr>
        <w:numPr>
          <w:ilvl w:val="0"/>
          <w:numId w:val="1"/>
        </w:numPr>
        <w:adjustRightInd w:val="0"/>
        <w:snapToGrid w:val="0"/>
        <w:spacing w:beforeLines="50" w:before="156" w:after="160" w:line="360" w:lineRule="auto"/>
        <w:jc w:val="left"/>
        <w:rPr>
          <w:rFonts w:ascii="宋体" w:hAnsi="宋体" w:cs="Arial" w:hint="eastAsia"/>
          <w:b/>
          <w:color w:val="000000"/>
          <w:sz w:val="24"/>
        </w:rPr>
      </w:pPr>
      <w:r>
        <w:rPr>
          <w:rFonts w:ascii="宋体" w:hAnsi="宋体" w:cs="Arial" w:hint="eastAsia"/>
          <w:b/>
          <w:color w:val="000000"/>
          <w:sz w:val="24"/>
        </w:rPr>
        <w:t>货物</w:t>
      </w:r>
      <w:r>
        <w:rPr>
          <w:rFonts w:ascii="宋体" w:hAnsi="宋体" w:cs="Arial"/>
          <w:b/>
          <w:color w:val="000000"/>
          <w:sz w:val="24"/>
        </w:rPr>
        <w:t>的主要用途及功能</w:t>
      </w:r>
    </w:p>
    <w:p w14:paraId="5FDFC56F" w14:textId="77777777" w:rsidR="00B409C0" w:rsidRPr="006F5663" w:rsidRDefault="00B409C0" w:rsidP="00B409C0">
      <w:pPr>
        <w:adjustRightInd w:val="0"/>
        <w:snapToGrid w:val="0"/>
        <w:spacing w:beforeLines="50" w:before="156" w:line="360" w:lineRule="auto"/>
        <w:jc w:val="left"/>
        <w:rPr>
          <w:rFonts w:ascii="宋体" w:hAnsi="宋体" w:hint="eastAsia"/>
          <w:bCs/>
          <w:sz w:val="24"/>
        </w:rPr>
      </w:pPr>
      <w:r w:rsidRPr="006F5663">
        <w:rPr>
          <w:rFonts w:ascii="宋体" w:hAnsi="宋体" w:hint="eastAsia"/>
          <w:bCs/>
          <w:sz w:val="24"/>
        </w:rPr>
        <w:t>本次采购标的物为扫描电子显微镜（含能谱仪）1台</w:t>
      </w:r>
      <w:r>
        <w:rPr>
          <w:rFonts w:ascii="宋体" w:hAnsi="宋体" w:hint="eastAsia"/>
          <w:bCs/>
          <w:sz w:val="24"/>
        </w:rPr>
        <w:t>，</w:t>
      </w:r>
      <w:r w:rsidRPr="006F5663">
        <w:rPr>
          <w:rFonts w:ascii="宋体" w:hAnsi="宋体" w:hint="eastAsia"/>
          <w:bCs/>
          <w:sz w:val="24"/>
        </w:rPr>
        <w:t>用于材料表面微观形貌观测和表面成分测量，为第一壁材料腐蚀与沉积、灰尘迁移和燃料滞留等课题研究提供分析手段。</w:t>
      </w:r>
    </w:p>
    <w:p w14:paraId="26A61ED9" w14:textId="77777777" w:rsidR="00B409C0" w:rsidRPr="006F5663" w:rsidRDefault="00B409C0" w:rsidP="00B409C0">
      <w:pPr>
        <w:adjustRightInd w:val="0"/>
        <w:snapToGrid w:val="0"/>
        <w:spacing w:beforeLines="50" w:before="156" w:line="360" w:lineRule="auto"/>
        <w:jc w:val="left"/>
        <w:rPr>
          <w:rFonts w:ascii="宋体" w:hAnsi="宋体" w:hint="eastAsia"/>
          <w:bCs/>
          <w:color w:val="000000"/>
          <w:sz w:val="24"/>
        </w:rPr>
      </w:pPr>
      <w:r w:rsidRPr="006F5663">
        <w:rPr>
          <w:rFonts w:ascii="宋体" w:hAnsi="宋体" w:hint="eastAsia"/>
          <w:bCs/>
          <w:sz w:val="24"/>
        </w:rPr>
        <w:t>课题研究涉及大量不同样品在等离子体辐照前后的表面形貌和成分测量，EAST托卡马克第一壁相关样品最大尺寸约为160 mm×100 mm×20 mm，壁表面沉积物及灰尘颗粒尺寸一般为百纳米至微米量级，因此要求设备具备足够的样品仓空间、较高的放大倍数以及微区成分分析能力。</w:t>
      </w:r>
    </w:p>
    <w:p w14:paraId="4DFA3769" w14:textId="77777777" w:rsidR="00B409C0" w:rsidRDefault="00B409C0" w:rsidP="00B409C0">
      <w:pPr>
        <w:numPr>
          <w:ilvl w:val="0"/>
          <w:numId w:val="1"/>
        </w:numPr>
        <w:adjustRightInd w:val="0"/>
        <w:snapToGrid w:val="0"/>
        <w:spacing w:beforeLines="50" w:before="156" w:after="160" w:line="360" w:lineRule="auto"/>
        <w:jc w:val="left"/>
        <w:rPr>
          <w:rFonts w:ascii="宋体" w:hAnsi="宋体" w:cs="Arial" w:hint="eastAsia"/>
          <w:b/>
          <w:color w:val="000000"/>
          <w:sz w:val="24"/>
        </w:rPr>
      </w:pPr>
      <w:r>
        <w:rPr>
          <w:rFonts w:ascii="宋体" w:hAnsi="宋体" w:cs="Arial"/>
          <w:b/>
          <w:color w:val="000000"/>
          <w:sz w:val="24"/>
        </w:rPr>
        <w:t>工作条件</w:t>
      </w:r>
    </w:p>
    <w:p w14:paraId="132C830D" w14:textId="77777777" w:rsidR="00B409C0" w:rsidRPr="006F5663" w:rsidRDefault="00B409C0" w:rsidP="00B409C0">
      <w:pPr>
        <w:adjustRightInd w:val="0"/>
        <w:snapToGrid w:val="0"/>
        <w:spacing w:beforeLines="50" w:before="156" w:line="360" w:lineRule="auto"/>
        <w:jc w:val="left"/>
        <w:rPr>
          <w:rFonts w:ascii="宋体" w:hAnsi="宋体" w:hint="eastAsia"/>
          <w:bCs/>
          <w:color w:val="000000"/>
          <w:sz w:val="24"/>
        </w:rPr>
      </w:pPr>
      <w:r w:rsidRPr="006F5663">
        <w:rPr>
          <w:rFonts w:ascii="宋体" w:hAnsi="宋体" w:hint="eastAsia"/>
          <w:bCs/>
          <w:sz w:val="24"/>
        </w:rPr>
        <w:t>设备应适用于采购人指定实验室环境。投标人应在投标文件中明确设备安装场地、电源、接地、温湿度、振动、磁场、运输通道及其他公用条件要求，并负责指导采购人完成安装前准备。</w:t>
      </w:r>
    </w:p>
    <w:p w14:paraId="2DAC3D46" w14:textId="77777777" w:rsidR="00B409C0" w:rsidRDefault="00B409C0" w:rsidP="00B409C0">
      <w:pPr>
        <w:numPr>
          <w:ilvl w:val="0"/>
          <w:numId w:val="2"/>
        </w:numPr>
        <w:adjustRightInd w:val="0"/>
        <w:snapToGrid w:val="0"/>
        <w:spacing w:beforeLines="50" w:before="156" w:after="160" w:line="360" w:lineRule="auto"/>
        <w:ind w:left="505" w:hanging="505"/>
        <w:jc w:val="left"/>
        <w:rPr>
          <w:rFonts w:ascii="宋体" w:hAnsi="宋体" w:cs="Arial" w:hint="eastAsia"/>
          <w:b/>
          <w:color w:val="000000"/>
          <w:sz w:val="24"/>
        </w:rPr>
      </w:pPr>
      <w:r>
        <w:rPr>
          <w:rFonts w:ascii="宋体" w:hAnsi="宋体" w:cs="Arial" w:hint="eastAsia"/>
          <w:b/>
          <w:color w:val="000000"/>
          <w:sz w:val="24"/>
        </w:rPr>
        <w:t>主要技术指标</w:t>
      </w:r>
    </w:p>
    <w:p w14:paraId="43B77F12"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1. SE</w:t>
      </w:r>
      <w:r w:rsidRPr="006F5663">
        <w:rPr>
          <w:bCs/>
          <w:color w:val="000000"/>
          <w:sz w:val="24"/>
        </w:rPr>
        <w:t>分辨率：</w:t>
      </w:r>
      <w:r w:rsidRPr="006F5663">
        <w:rPr>
          <w:bCs/>
          <w:color w:val="000000"/>
          <w:sz w:val="24"/>
        </w:rPr>
        <w:t>3 nm@30 kV</w:t>
      </w:r>
      <w:r w:rsidRPr="006F5663">
        <w:rPr>
          <w:bCs/>
          <w:color w:val="000000"/>
          <w:sz w:val="24"/>
        </w:rPr>
        <w:t>，</w:t>
      </w:r>
      <w:r w:rsidRPr="006F5663">
        <w:rPr>
          <w:bCs/>
          <w:color w:val="000000"/>
          <w:sz w:val="24"/>
        </w:rPr>
        <w:t>8 nm@3 kV</w:t>
      </w:r>
      <w:r w:rsidRPr="006F5663">
        <w:rPr>
          <w:bCs/>
          <w:color w:val="000000"/>
          <w:sz w:val="24"/>
        </w:rPr>
        <w:t>；</w:t>
      </w:r>
    </w:p>
    <w:p w14:paraId="7192AACE"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2. BSE</w:t>
      </w:r>
      <w:r w:rsidRPr="006F5663">
        <w:rPr>
          <w:bCs/>
          <w:color w:val="000000"/>
          <w:sz w:val="24"/>
        </w:rPr>
        <w:t>分辨率：</w:t>
      </w:r>
      <w:r w:rsidRPr="006F5663">
        <w:rPr>
          <w:bCs/>
          <w:color w:val="000000"/>
          <w:sz w:val="24"/>
        </w:rPr>
        <w:t>3.5 nm</w:t>
      </w:r>
      <w:r w:rsidRPr="006F5663">
        <w:rPr>
          <w:bCs/>
          <w:color w:val="000000"/>
          <w:sz w:val="24"/>
        </w:rPr>
        <w:t>；</w:t>
      </w:r>
    </w:p>
    <w:p w14:paraId="22AF95CD"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3. </w:t>
      </w:r>
      <w:r w:rsidRPr="006F5663">
        <w:rPr>
          <w:bCs/>
          <w:color w:val="000000"/>
          <w:sz w:val="24"/>
        </w:rPr>
        <w:t>加速电压：最小可以调至</w:t>
      </w:r>
      <w:r w:rsidRPr="006F5663">
        <w:rPr>
          <w:bCs/>
          <w:color w:val="000000"/>
          <w:sz w:val="24"/>
        </w:rPr>
        <w:t>0.2 kV</w:t>
      </w:r>
      <w:r w:rsidRPr="006F5663">
        <w:rPr>
          <w:bCs/>
          <w:color w:val="000000"/>
          <w:sz w:val="24"/>
        </w:rPr>
        <w:t>，最大可以调至</w:t>
      </w:r>
      <w:r w:rsidRPr="006F5663">
        <w:rPr>
          <w:bCs/>
          <w:color w:val="000000"/>
          <w:sz w:val="24"/>
        </w:rPr>
        <w:t>30 kV</w:t>
      </w:r>
      <w:r w:rsidRPr="006F5663">
        <w:rPr>
          <w:bCs/>
          <w:color w:val="000000"/>
          <w:sz w:val="24"/>
        </w:rPr>
        <w:t>；</w:t>
      </w:r>
    </w:p>
    <w:p w14:paraId="4512A1C7"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4. </w:t>
      </w:r>
      <w:r w:rsidRPr="006F5663">
        <w:rPr>
          <w:bCs/>
          <w:color w:val="000000"/>
          <w:sz w:val="24"/>
        </w:rPr>
        <w:t>束流：最小可以调至</w:t>
      </w:r>
      <w:r w:rsidRPr="006F5663">
        <w:rPr>
          <w:bCs/>
          <w:color w:val="000000"/>
          <w:sz w:val="24"/>
        </w:rPr>
        <w:t xml:space="preserve">2 </w:t>
      </w:r>
      <w:proofErr w:type="spellStart"/>
      <w:r w:rsidRPr="006F5663">
        <w:rPr>
          <w:bCs/>
          <w:color w:val="000000"/>
          <w:sz w:val="24"/>
        </w:rPr>
        <w:t>pA</w:t>
      </w:r>
      <w:proofErr w:type="spellEnd"/>
      <w:r w:rsidRPr="006F5663">
        <w:rPr>
          <w:bCs/>
          <w:color w:val="000000"/>
          <w:sz w:val="24"/>
        </w:rPr>
        <w:t>，最大可以调至</w:t>
      </w:r>
      <w:r w:rsidRPr="006F5663">
        <w:rPr>
          <w:bCs/>
          <w:color w:val="000000"/>
          <w:sz w:val="24"/>
        </w:rPr>
        <w:t xml:space="preserve">2 </w:t>
      </w:r>
      <w:proofErr w:type="spellStart"/>
      <w:r w:rsidRPr="006F5663">
        <w:rPr>
          <w:bCs/>
          <w:color w:val="000000"/>
          <w:sz w:val="24"/>
        </w:rPr>
        <w:t>μA</w:t>
      </w:r>
      <w:proofErr w:type="spellEnd"/>
      <w:r w:rsidRPr="006F5663">
        <w:rPr>
          <w:bCs/>
          <w:color w:val="000000"/>
          <w:sz w:val="24"/>
        </w:rPr>
        <w:t>；</w:t>
      </w:r>
    </w:p>
    <w:p w14:paraId="76D533FE"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lastRenderedPageBreak/>
        <w:t xml:space="preserve">5. </w:t>
      </w:r>
      <w:r w:rsidRPr="006F5663">
        <w:rPr>
          <w:bCs/>
          <w:color w:val="000000"/>
          <w:sz w:val="24"/>
        </w:rPr>
        <w:t>无需任何机械对中的镜筒设计（即无物镜光阑），使光路合轴和校准完全自动化，保证电镜始终处于最佳状态，并尽可能减少操作者工作量；</w:t>
      </w:r>
    </w:p>
    <w:p w14:paraId="6C389C45"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6. </w:t>
      </w:r>
      <w:r w:rsidRPr="006F5663">
        <w:rPr>
          <w:bCs/>
          <w:color w:val="000000"/>
          <w:sz w:val="24"/>
        </w:rPr>
        <w:t>放大倍数：</w:t>
      </w:r>
      <w:r w:rsidRPr="006F5663">
        <w:rPr>
          <w:bCs/>
          <w:color w:val="000000"/>
          <w:sz w:val="24"/>
        </w:rPr>
        <w:t>2</w:t>
      </w:r>
      <w:r w:rsidRPr="006F5663">
        <w:rPr>
          <w:bCs/>
          <w:color w:val="000000"/>
          <w:sz w:val="24"/>
        </w:rPr>
        <w:t>倍至</w:t>
      </w:r>
      <w:r w:rsidRPr="006F5663">
        <w:rPr>
          <w:bCs/>
          <w:color w:val="000000"/>
          <w:sz w:val="24"/>
        </w:rPr>
        <w:t>1,000,000</w:t>
      </w:r>
      <w:r w:rsidRPr="006F5663">
        <w:rPr>
          <w:bCs/>
          <w:color w:val="000000"/>
          <w:sz w:val="24"/>
        </w:rPr>
        <w:t>倍，连续可调；</w:t>
      </w:r>
    </w:p>
    <w:p w14:paraId="52CFECCA"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7. </w:t>
      </w:r>
      <w:r w:rsidRPr="006F5663">
        <w:rPr>
          <w:bCs/>
          <w:color w:val="000000"/>
          <w:sz w:val="24"/>
        </w:rPr>
        <w:t>水平视场宽度：分析工作距离</w:t>
      </w:r>
      <w:r w:rsidRPr="006F5663">
        <w:rPr>
          <w:bCs/>
          <w:color w:val="000000"/>
          <w:sz w:val="24"/>
        </w:rPr>
        <w:t>10 mm</w:t>
      </w:r>
      <w:r w:rsidRPr="006F5663">
        <w:rPr>
          <w:bCs/>
          <w:color w:val="000000"/>
          <w:sz w:val="24"/>
        </w:rPr>
        <w:t>时不小于</w:t>
      </w:r>
      <w:r w:rsidRPr="006F5663">
        <w:rPr>
          <w:bCs/>
          <w:color w:val="000000"/>
          <w:sz w:val="24"/>
        </w:rPr>
        <w:t>7 mm</w:t>
      </w:r>
      <w:r w:rsidRPr="006F5663">
        <w:rPr>
          <w:bCs/>
          <w:color w:val="000000"/>
          <w:sz w:val="24"/>
        </w:rPr>
        <w:t>，最大视场宽度不小于</w:t>
      </w:r>
      <w:r w:rsidRPr="006F5663">
        <w:rPr>
          <w:bCs/>
          <w:color w:val="000000"/>
          <w:sz w:val="24"/>
        </w:rPr>
        <w:t>50 mm</w:t>
      </w:r>
      <w:r w:rsidRPr="006F5663">
        <w:rPr>
          <w:bCs/>
          <w:color w:val="000000"/>
          <w:sz w:val="24"/>
        </w:rPr>
        <w:t>；</w:t>
      </w:r>
    </w:p>
    <w:p w14:paraId="0DBBE69D"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8. </w:t>
      </w:r>
      <w:r w:rsidRPr="006F5663">
        <w:rPr>
          <w:bCs/>
          <w:color w:val="000000"/>
          <w:sz w:val="24"/>
        </w:rPr>
        <w:t>真空系统：涡轮分子泵和</w:t>
      </w:r>
      <w:proofErr w:type="gramStart"/>
      <w:r w:rsidRPr="006F5663">
        <w:rPr>
          <w:bCs/>
          <w:color w:val="000000"/>
          <w:sz w:val="24"/>
        </w:rPr>
        <w:t>机械泵各</w:t>
      </w:r>
      <w:r w:rsidRPr="006F5663">
        <w:rPr>
          <w:bCs/>
          <w:color w:val="000000"/>
          <w:sz w:val="24"/>
        </w:rPr>
        <w:t>1</w:t>
      </w:r>
      <w:r w:rsidRPr="006F5663">
        <w:rPr>
          <w:bCs/>
          <w:color w:val="000000"/>
          <w:sz w:val="24"/>
        </w:rPr>
        <w:t>台</w:t>
      </w:r>
      <w:proofErr w:type="gramEnd"/>
      <w:r w:rsidRPr="006F5663">
        <w:rPr>
          <w:bCs/>
          <w:color w:val="000000"/>
          <w:sz w:val="24"/>
        </w:rPr>
        <w:t>，更换样品后抽真空时间</w:t>
      </w:r>
      <w:r w:rsidRPr="006F5663">
        <w:rPr>
          <w:bCs/>
          <w:color w:val="000000"/>
          <w:sz w:val="24"/>
        </w:rPr>
        <w:t>≤3</w:t>
      </w:r>
      <w:r w:rsidRPr="006F5663">
        <w:rPr>
          <w:bCs/>
          <w:color w:val="000000"/>
          <w:sz w:val="24"/>
        </w:rPr>
        <w:t>分钟；</w:t>
      </w:r>
    </w:p>
    <w:p w14:paraId="7C8AD7B8"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9. </w:t>
      </w:r>
      <w:r w:rsidRPr="006F5663">
        <w:rPr>
          <w:bCs/>
          <w:color w:val="000000"/>
          <w:sz w:val="24"/>
        </w:rPr>
        <w:t>电子光学系统：</w:t>
      </w:r>
      <w:proofErr w:type="gramStart"/>
      <w:r w:rsidRPr="006F5663">
        <w:rPr>
          <w:bCs/>
          <w:color w:val="000000"/>
          <w:sz w:val="24"/>
        </w:rPr>
        <w:t>预对中</w:t>
      </w:r>
      <w:proofErr w:type="gramEnd"/>
      <w:r w:rsidRPr="006F5663">
        <w:rPr>
          <w:bCs/>
          <w:color w:val="000000"/>
          <w:sz w:val="24"/>
        </w:rPr>
        <w:t>钨灯丝；</w:t>
      </w:r>
    </w:p>
    <w:p w14:paraId="7582A101"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10. </w:t>
      </w:r>
      <w:r w:rsidRPr="006F5663">
        <w:rPr>
          <w:bCs/>
          <w:color w:val="000000"/>
          <w:sz w:val="24"/>
        </w:rPr>
        <w:t>样品室：</w:t>
      </w:r>
    </w:p>
    <w:p w14:paraId="2F67AA9C"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10.1 </w:t>
      </w:r>
      <w:proofErr w:type="gramStart"/>
      <w:r w:rsidRPr="006F5663">
        <w:rPr>
          <w:bCs/>
          <w:color w:val="000000"/>
          <w:sz w:val="24"/>
        </w:rPr>
        <w:t>五轴马达</w:t>
      </w:r>
      <w:proofErr w:type="gramEnd"/>
      <w:r w:rsidRPr="006F5663">
        <w:rPr>
          <w:bCs/>
          <w:color w:val="000000"/>
          <w:sz w:val="24"/>
        </w:rPr>
        <w:t>全自动控制样品台，具有接触报警与自停功能；</w:t>
      </w:r>
    </w:p>
    <w:p w14:paraId="3708F744"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10.2 </w:t>
      </w:r>
      <w:r w:rsidRPr="006F5663">
        <w:rPr>
          <w:bCs/>
          <w:color w:val="000000"/>
          <w:sz w:val="24"/>
        </w:rPr>
        <w:t>最大样品尺寸</w:t>
      </w:r>
      <w:r w:rsidRPr="006F5663">
        <w:rPr>
          <w:bCs/>
          <w:color w:val="000000"/>
          <w:sz w:val="24"/>
        </w:rPr>
        <w:t>145</w:t>
      </w:r>
      <w:r w:rsidRPr="006F5663">
        <w:rPr>
          <w:bCs/>
          <w:color w:val="000000"/>
          <w:sz w:val="24"/>
        </w:rPr>
        <w:t>（</w:t>
      </w:r>
      <w:r w:rsidRPr="006F5663">
        <w:rPr>
          <w:bCs/>
          <w:color w:val="000000"/>
          <w:sz w:val="24"/>
        </w:rPr>
        <w:t>X</w:t>
      </w:r>
      <w:r w:rsidRPr="006F5663">
        <w:rPr>
          <w:bCs/>
          <w:color w:val="000000"/>
          <w:sz w:val="24"/>
        </w:rPr>
        <w:t>）</w:t>
      </w:r>
      <w:r w:rsidRPr="006F5663">
        <w:rPr>
          <w:bCs/>
          <w:color w:val="000000"/>
          <w:sz w:val="24"/>
        </w:rPr>
        <w:t>×145</w:t>
      </w:r>
      <w:r w:rsidRPr="006F5663">
        <w:rPr>
          <w:bCs/>
          <w:color w:val="000000"/>
          <w:sz w:val="24"/>
        </w:rPr>
        <w:t>（</w:t>
      </w:r>
      <w:r w:rsidRPr="006F5663">
        <w:rPr>
          <w:bCs/>
          <w:color w:val="000000"/>
          <w:sz w:val="24"/>
        </w:rPr>
        <w:t>Y</w:t>
      </w:r>
      <w:r w:rsidRPr="006F5663">
        <w:rPr>
          <w:bCs/>
          <w:color w:val="000000"/>
          <w:sz w:val="24"/>
        </w:rPr>
        <w:t>）</w:t>
      </w:r>
      <w:r w:rsidRPr="006F5663">
        <w:rPr>
          <w:bCs/>
          <w:color w:val="000000"/>
          <w:sz w:val="24"/>
        </w:rPr>
        <w:t>mm</w:t>
      </w:r>
      <w:r w:rsidRPr="006F5663">
        <w:rPr>
          <w:bCs/>
          <w:color w:val="000000"/>
          <w:sz w:val="24"/>
        </w:rPr>
        <w:t>；</w:t>
      </w:r>
    </w:p>
    <w:p w14:paraId="6E02C850"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10.3 </w:t>
      </w:r>
      <w:r w:rsidRPr="006F5663">
        <w:rPr>
          <w:bCs/>
          <w:color w:val="000000"/>
          <w:sz w:val="24"/>
        </w:rPr>
        <w:t>样品台移动行程</w:t>
      </w:r>
      <w:r w:rsidRPr="006F5663">
        <w:rPr>
          <w:bCs/>
          <w:color w:val="000000"/>
          <w:sz w:val="24"/>
        </w:rPr>
        <w:t>X≥80 mm</w:t>
      </w:r>
      <w:r w:rsidRPr="006F5663">
        <w:rPr>
          <w:bCs/>
          <w:color w:val="000000"/>
          <w:sz w:val="24"/>
        </w:rPr>
        <w:t>，</w:t>
      </w:r>
      <w:r w:rsidRPr="006F5663">
        <w:rPr>
          <w:bCs/>
          <w:color w:val="000000"/>
          <w:sz w:val="24"/>
        </w:rPr>
        <w:t>Y≥60 mm</w:t>
      </w:r>
      <w:r w:rsidRPr="006F5663">
        <w:rPr>
          <w:bCs/>
          <w:color w:val="000000"/>
          <w:sz w:val="24"/>
        </w:rPr>
        <w:t>，</w:t>
      </w:r>
      <w:r w:rsidRPr="006F5663">
        <w:rPr>
          <w:bCs/>
          <w:color w:val="000000"/>
          <w:sz w:val="24"/>
        </w:rPr>
        <w:t>Z≥50 mm</w:t>
      </w:r>
      <w:r w:rsidRPr="006F5663">
        <w:rPr>
          <w:bCs/>
          <w:color w:val="000000"/>
          <w:sz w:val="24"/>
        </w:rPr>
        <w:t>，</w:t>
      </w:r>
      <w:r w:rsidRPr="006F5663">
        <w:rPr>
          <w:bCs/>
          <w:color w:val="000000"/>
          <w:sz w:val="24"/>
        </w:rPr>
        <w:t>R=360°</w:t>
      </w:r>
      <w:r w:rsidRPr="006F5663">
        <w:rPr>
          <w:bCs/>
          <w:color w:val="000000"/>
          <w:sz w:val="24"/>
        </w:rPr>
        <w:t>，</w:t>
      </w:r>
      <w:r w:rsidRPr="006F5663">
        <w:rPr>
          <w:bCs/>
          <w:color w:val="000000"/>
          <w:sz w:val="24"/>
        </w:rPr>
        <w:t>T=-80°</w:t>
      </w:r>
      <w:r w:rsidRPr="006F5663">
        <w:rPr>
          <w:bCs/>
          <w:color w:val="000000"/>
          <w:sz w:val="24"/>
        </w:rPr>
        <w:t>至</w:t>
      </w:r>
      <w:r w:rsidRPr="006F5663">
        <w:rPr>
          <w:bCs/>
          <w:color w:val="000000"/>
          <w:sz w:val="24"/>
        </w:rPr>
        <w:t>80°</w:t>
      </w:r>
      <w:r w:rsidRPr="006F5663">
        <w:rPr>
          <w:bCs/>
          <w:color w:val="000000"/>
          <w:sz w:val="24"/>
        </w:rPr>
        <w:t>；</w:t>
      </w:r>
    </w:p>
    <w:p w14:paraId="7BCB9261"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11. </w:t>
      </w:r>
      <w:r w:rsidRPr="006F5663">
        <w:rPr>
          <w:bCs/>
          <w:color w:val="000000"/>
          <w:sz w:val="24"/>
        </w:rPr>
        <w:t>探测器：至少包含二次电子探测器、背散射电子探测器、红外</w:t>
      </w:r>
      <w:r w:rsidRPr="006F5663">
        <w:rPr>
          <w:bCs/>
          <w:color w:val="000000"/>
          <w:sz w:val="24"/>
        </w:rPr>
        <w:t>CCD</w:t>
      </w:r>
      <w:r w:rsidRPr="006F5663">
        <w:rPr>
          <w:bCs/>
          <w:color w:val="000000"/>
          <w:sz w:val="24"/>
        </w:rPr>
        <w:t>摄像机和束流测量；</w:t>
      </w:r>
    </w:p>
    <w:p w14:paraId="4BBB940A"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12. </w:t>
      </w:r>
      <w:r w:rsidRPr="006F5663">
        <w:rPr>
          <w:bCs/>
          <w:color w:val="000000"/>
          <w:sz w:val="24"/>
        </w:rPr>
        <w:t>软件系统：</w:t>
      </w:r>
    </w:p>
    <w:p w14:paraId="762B26C3"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12.1 </w:t>
      </w:r>
      <w:r w:rsidRPr="006F5663">
        <w:rPr>
          <w:bCs/>
          <w:color w:val="000000"/>
          <w:sz w:val="24"/>
        </w:rPr>
        <w:t>主流计算机配置，</w:t>
      </w:r>
      <w:r w:rsidRPr="006F5663">
        <w:rPr>
          <w:bCs/>
          <w:color w:val="000000"/>
          <w:sz w:val="24"/>
        </w:rPr>
        <w:t>Windows</w:t>
      </w:r>
      <w:r w:rsidRPr="006F5663">
        <w:rPr>
          <w:bCs/>
          <w:color w:val="000000"/>
          <w:sz w:val="24"/>
        </w:rPr>
        <w:t>操作系统；</w:t>
      </w:r>
    </w:p>
    <w:p w14:paraId="707AEC97"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12.2 </w:t>
      </w:r>
      <w:r w:rsidRPr="006F5663">
        <w:rPr>
          <w:bCs/>
          <w:color w:val="000000"/>
          <w:sz w:val="24"/>
        </w:rPr>
        <w:t>电镜软件具备中英文多语言操作界面，可以设置多用户账户权限管理；</w:t>
      </w:r>
    </w:p>
    <w:p w14:paraId="36D35079"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12.3 </w:t>
      </w:r>
      <w:r w:rsidRPr="006F5663">
        <w:rPr>
          <w:bCs/>
          <w:color w:val="000000"/>
          <w:sz w:val="24"/>
        </w:rPr>
        <w:t>存储图像的最大像素</w:t>
      </w:r>
      <w:r w:rsidRPr="006F5663">
        <w:rPr>
          <w:bCs/>
          <w:color w:val="000000"/>
          <w:sz w:val="24"/>
        </w:rPr>
        <w:t>16384×16384</w:t>
      </w:r>
      <w:r w:rsidRPr="006F5663">
        <w:rPr>
          <w:bCs/>
          <w:color w:val="000000"/>
          <w:sz w:val="24"/>
        </w:rPr>
        <w:t>；存储格式至少包括</w:t>
      </w:r>
      <w:r w:rsidRPr="006F5663">
        <w:rPr>
          <w:bCs/>
          <w:color w:val="000000"/>
          <w:sz w:val="24"/>
        </w:rPr>
        <w:t>BMP</w:t>
      </w:r>
      <w:r w:rsidRPr="006F5663">
        <w:rPr>
          <w:bCs/>
          <w:color w:val="000000"/>
          <w:sz w:val="24"/>
        </w:rPr>
        <w:t>、</w:t>
      </w:r>
      <w:r w:rsidRPr="006F5663">
        <w:rPr>
          <w:bCs/>
          <w:color w:val="000000"/>
          <w:sz w:val="24"/>
        </w:rPr>
        <w:t>TIFF</w:t>
      </w:r>
      <w:r w:rsidRPr="006F5663">
        <w:rPr>
          <w:bCs/>
          <w:color w:val="000000"/>
          <w:sz w:val="24"/>
        </w:rPr>
        <w:t>、</w:t>
      </w:r>
      <w:r w:rsidRPr="006F5663">
        <w:rPr>
          <w:bCs/>
          <w:color w:val="000000"/>
          <w:sz w:val="24"/>
        </w:rPr>
        <w:t>JPEG</w:t>
      </w:r>
      <w:r w:rsidRPr="006F5663">
        <w:rPr>
          <w:bCs/>
          <w:color w:val="000000"/>
          <w:sz w:val="24"/>
        </w:rPr>
        <w:t>、</w:t>
      </w:r>
      <w:r w:rsidRPr="006F5663">
        <w:rPr>
          <w:bCs/>
          <w:color w:val="000000"/>
          <w:sz w:val="24"/>
        </w:rPr>
        <w:t>GIF</w:t>
      </w:r>
      <w:r w:rsidRPr="006F5663">
        <w:rPr>
          <w:bCs/>
          <w:color w:val="000000"/>
          <w:sz w:val="24"/>
        </w:rPr>
        <w:t>；</w:t>
      </w:r>
    </w:p>
    <w:p w14:paraId="63C2EFEC"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12.4 </w:t>
      </w:r>
      <w:r w:rsidRPr="006F5663">
        <w:rPr>
          <w:bCs/>
          <w:color w:val="000000"/>
          <w:sz w:val="24"/>
        </w:rPr>
        <w:t>标配光学联用模块，可与任何光学照片或设计图及其它</w:t>
      </w:r>
      <w:r w:rsidRPr="006F5663">
        <w:rPr>
          <w:bCs/>
          <w:color w:val="000000"/>
          <w:sz w:val="24"/>
        </w:rPr>
        <w:t>Mapping</w:t>
      </w:r>
      <w:r w:rsidRPr="006F5663">
        <w:rPr>
          <w:bCs/>
          <w:color w:val="000000"/>
          <w:sz w:val="24"/>
        </w:rPr>
        <w:t>（绘制图）完成快速定位和导航；</w:t>
      </w:r>
    </w:p>
    <w:p w14:paraId="487B12E4"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12.5 </w:t>
      </w:r>
      <w:r w:rsidRPr="006F5663">
        <w:rPr>
          <w:bCs/>
          <w:color w:val="000000"/>
          <w:sz w:val="24"/>
        </w:rPr>
        <w:t>配置样品室三维防碰撞模拟系统，在样品随样品台移动过程中，三维防碰撞模拟系统可以直观显示样品仓内各探测器与样品的位置信息，预防碰撞，提供安全性保护；</w:t>
      </w:r>
    </w:p>
    <w:p w14:paraId="34908CB8"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lastRenderedPageBreak/>
        <w:t xml:space="preserve">13. </w:t>
      </w:r>
      <w:r w:rsidRPr="006F5663">
        <w:rPr>
          <w:bCs/>
          <w:color w:val="000000"/>
          <w:sz w:val="24"/>
        </w:rPr>
        <w:t>能谱仪：</w:t>
      </w:r>
    </w:p>
    <w:p w14:paraId="28734B28"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13.1 </w:t>
      </w:r>
      <w:r w:rsidRPr="006F5663">
        <w:rPr>
          <w:bCs/>
          <w:color w:val="000000"/>
          <w:sz w:val="24"/>
        </w:rPr>
        <w:t>探测器面积不小于</w:t>
      </w:r>
      <w:r w:rsidRPr="006F5663">
        <w:rPr>
          <w:bCs/>
          <w:color w:val="000000"/>
          <w:sz w:val="24"/>
        </w:rPr>
        <w:t>15 mm²</w:t>
      </w:r>
      <w:r w:rsidRPr="006F5663">
        <w:rPr>
          <w:bCs/>
          <w:color w:val="000000"/>
          <w:sz w:val="24"/>
        </w:rPr>
        <w:t>；</w:t>
      </w:r>
    </w:p>
    <w:p w14:paraId="6A170EFA"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13.2 </w:t>
      </w:r>
      <w:r w:rsidRPr="006F5663">
        <w:rPr>
          <w:bCs/>
          <w:color w:val="000000"/>
          <w:sz w:val="24"/>
        </w:rPr>
        <w:t>分辨率优于</w:t>
      </w:r>
      <w:r w:rsidRPr="006F5663">
        <w:rPr>
          <w:bCs/>
          <w:color w:val="000000"/>
          <w:sz w:val="24"/>
        </w:rPr>
        <w:t>129 eV</w:t>
      </w:r>
      <w:r w:rsidRPr="006F5663">
        <w:rPr>
          <w:bCs/>
          <w:color w:val="000000"/>
          <w:sz w:val="24"/>
        </w:rPr>
        <w:t>；</w:t>
      </w:r>
    </w:p>
    <w:p w14:paraId="11A677AC" w14:textId="77777777" w:rsidR="00B409C0" w:rsidRPr="006F5663" w:rsidRDefault="00B409C0" w:rsidP="00B409C0">
      <w:pPr>
        <w:adjustRightInd w:val="0"/>
        <w:snapToGrid w:val="0"/>
        <w:spacing w:beforeLines="50" w:before="156" w:after="160" w:line="360" w:lineRule="auto"/>
        <w:jc w:val="left"/>
        <w:rPr>
          <w:rFonts w:ascii="宋体" w:hAnsi="宋体" w:cs="Arial" w:hint="eastAsia"/>
          <w:bCs/>
          <w:color w:val="000000"/>
          <w:sz w:val="24"/>
        </w:rPr>
      </w:pPr>
      <w:r w:rsidRPr="006F5663">
        <w:rPr>
          <w:bCs/>
          <w:color w:val="000000"/>
          <w:sz w:val="24"/>
        </w:rPr>
        <w:t xml:space="preserve">13.3 </w:t>
      </w:r>
      <w:r w:rsidRPr="006F5663">
        <w:rPr>
          <w:bCs/>
          <w:color w:val="000000"/>
          <w:sz w:val="24"/>
        </w:rPr>
        <w:t>采集模式：区域分析、点分析、线扫描、元素面扫描。</w:t>
      </w:r>
    </w:p>
    <w:p w14:paraId="3A49B5B6" w14:textId="77777777" w:rsidR="00B409C0" w:rsidRDefault="00B409C0" w:rsidP="00B409C0">
      <w:pPr>
        <w:numPr>
          <w:ilvl w:val="0"/>
          <w:numId w:val="2"/>
        </w:numPr>
        <w:adjustRightInd w:val="0"/>
        <w:snapToGrid w:val="0"/>
        <w:spacing w:beforeLines="50" w:before="156" w:after="160" w:line="360" w:lineRule="auto"/>
        <w:ind w:left="505" w:hanging="505"/>
        <w:jc w:val="left"/>
        <w:rPr>
          <w:b/>
          <w:sz w:val="24"/>
        </w:rPr>
      </w:pPr>
      <w:r>
        <w:rPr>
          <w:b/>
          <w:sz w:val="24"/>
        </w:rPr>
        <w:t>技术服务要求及质保要求</w:t>
      </w:r>
    </w:p>
    <w:p w14:paraId="38CCD1BF"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1. </w:t>
      </w:r>
      <w:r w:rsidRPr="006F5663">
        <w:rPr>
          <w:bCs/>
          <w:color w:val="000000"/>
          <w:sz w:val="24"/>
        </w:rPr>
        <w:t>投标报价应包括设备设计、制造、采购、包装、运输、保险、装卸、安装、调试、验收、培训、售后服务及质保期内服务等完成本项目所需的一切费用。</w:t>
      </w:r>
    </w:p>
    <w:p w14:paraId="249762EE"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2. </w:t>
      </w:r>
      <w:r w:rsidRPr="006F5663">
        <w:rPr>
          <w:bCs/>
          <w:color w:val="000000"/>
          <w:sz w:val="24"/>
        </w:rPr>
        <w:t>中标人应负责设备到货后的安装、调试和现场培训，培训内容至少包括设备基本原理、操作流程、日常维护、常见故障判断及安全注意事项。</w:t>
      </w:r>
    </w:p>
    <w:p w14:paraId="5EBB166E"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3. </w:t>
      </w:r>
      <w:r w:rsidRPr="006F5663">
        <w:rPr>
          <w:bCs/>
          <w:color w:val="000000"/>
          <w:sz w:val="24"/>
        </w:rPr>
        <w:t>中标人应提供完整的中文或中英文技术资料，包括但不限于装箱单、合格证明、操作手册、维护手册、软件说明、验收文件和售后服务联系方式。</w:t>
      </w:r>
    </w:p>
    <w:p w14:paraId="4A586F39"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4. </w:t>
      </w:r>
      <w:r w:rsidRPr="006F5663">
        <w:rPr>
          <w:bCs/>
          <w:color w:val="000000"/>
          <w:sz w:val="24"/>
        </w:rPr>
        <w:t>质保期为</w:t>
      </w:r>
      <w:proofErr w:type="gramStart"/>
      <w:r w:rsidRPr="006F5663">
        <w:rPr>
          <w:bCs/>
          <w:color w:val="000000"/>
          <w:sz w:val="24"/>
        </w:rPr>
        <w:t>自最终</w:t>
      </w:r>
      <w:proofErr w:type="gramEnd"/>
      <w:r w:rsidRPr="006F5663">
        <w:rPr>
          <w:bCs/>
          <w:color w:val="000000"/>
          <w:sz w:val="24"/>
        </w:rPr>
        <w:t>验收合格之日起不少于</w:t>
      </w:r>
      <w:r w:rsidRPr="006F5663">
        <w:rPr>
          <w:bCs/>
          <w:color w:val="000000"/>
          <w:sz w:val="24"/>
        </w:rPr>
        <w:t>12</w:t>
      </w:r>
      <w:r w:rsidRPr="006F5663">
        <w:rPr>
          <w:bCs/>
          <w:color w:val="000000"/>
          <w:sz w:val="24"/>
        </w:rPr>
        <w:t>个月，质保期内因设备质量问题产生的维修、更换零部件及人工费用由中标人承担。</w:t>
      </w:r>
    </w:p>
    <w:p w14:paraId="3DAFC1D0" w14:textId="77777777" w:rsidR="00B409C0" w:rsidRDefault="00B409C0" w:rsidP="00B409C0">
      <w:pPr>
        <w:adjustRightInd w:val="0"/>
        <w:snapToGrid w:val="0"/>
        <w:spacing w:beforeLines="50" w:before="156" w:after="160" w:line="360" w:lineRule="auto"/>
        <w:jc w:val="left"/>
        <w:rPr>
          <w:b/>
          <w:sz w:val="24"/>
        </w:rPr>
      </w:pPr>
      <w:r w:rsidRPr="006F5663">
        <w:rPr>
          <w:bCs/>
          <w:color w:val="000000"/>
          <w:sz w:val="24"/>
        </w:rPr>
        <w:t xml:space="preserve">5. </w:t>
      </w:r>
      <w:r w:rsidRPr="006F5663">
        <w:rPr>
          <w:bCs/>
          <w:color w:val="000000"/>
          <w:sz w:val="24"/>
        </w:rPr>
        <w:t>报修响应时间不超过</w:t>
      </w:r>
      <w:r w:rsidRPr="006F5663">
        <w:rPr>
          <w:bCs/>
          <w:color w:val="000000"/>
          <w:sz w:val="24"/>
        </w:rPr>
        <w:t>24</w:t>
      </w:r>
      <w:r w:rsidRPr="006F5663">
        <w:rPr>
          <w:bCs/>
          <w:color w:val="000000"/>
          <w:sz w:val="24"/>
        </w:rPr>
        <w:t>小时；需现场处理的，到场时间不超过</w:t>
      </w:r>
      <w:r w:rsidRPr="006F5663">
        <w:rPr>
          <w:bCs/>
          <w:color w:val="000000"/>
          <w:sz w:val="24"/>
        </w:rPr>
        <w:t>72</w:t>
      </w:r>
      <w:r w:rsidRPr="006F5663">
        <w:rPr>
          <w:bCs/>
          <w:color w:val="000000"/>
          <w:sz w:val="24"/>
        </w:rPr>
        <w:t>小时（不可抗力情形除外）。</w:t>
      </w:r>
    </w:p>
    <w:p w14:paraId="1AAB15D1" w14:textId="77777777" w:rsidR="00B409C0" w:rsidRDefault="00B409C0" w:rsidP="00B409C0">
      <w:pPr>
        <w:spacing w:line="360" w:lineRule="auto"/>
        <w:rPr>
          <w:sz w:val="28"/>
          <w:szCs w:val="28"/>
        </w:rPr>
      </w:pPr>
      <w:r>
        <w:rPr>
          <w:rFonts w:hint="eastAsia"/>
          <w:b/>
          <w:sz w:val="24"/>
        </w:rPr>
        <w:t>六、</w:t>
      </w:r>
      <w:r>
        <w:rPr>
          <w:b/>
          <w:sz w:val="24"/>
        </w:rPr>
        <w:t>验收标准及验收程序</w:t>
      </w:r>
      <w:r>
        <w:rPr>
          <w:b/>
          <w:sz w:val="24"/>
        </w:rPr>
        <w:tab/>
      </w:r>
    </w:p>
    <w:p w14:paraId="3070B0D1"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1. </w:t>
      </w:r>
      <w:r w:rsidRPr="006F5663">
        <w:rPr>
          <w:bCs/>
          <w:color w:val="000000"/>
          <w:sz w:val="24"/>
        </w:rPr>
        <w:t>到货后，采购人会同中标人根据合同、装箱单及技术文件进行开箱清点。</w:t>
      </w:r>
    </w:p>
    <w:p w14:paraId="6E3C1D1C"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2. </w:t>
      </w:r>
      <w:r w:rsidRPr="006F5663">
        <w:rPr>
          <w:bCs/>
          <w:color w:val="000000"/>
          <w:sz w:val="24"/>
        </w:rPr>
        <w:t>中标人完成安装调试后，应按招标文件、投标文件、合同及制造商技术标准进行功能和性能验收。</w:t>
      </w:r>
    </w:p>
    <w:p w14:paraId="1335BD8D"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3. </w:t>
      </w:r>
      <w:r w:rsidRPr="006F5663">
        <w:rPr>
          <w:bCs/>
          <w:color w:val="000000"/>
          <w:sz w:val="24"/>
        </w:rPr>
        <w:t>验收内容包括设备配置完整性、主要技术指标响应情况、成像功能、微区成分分析功能、软件功能、技术资料和培训完成情况等。</w:t>
      </w:r>
    </w:p>
    <w:p w14:paraId="0FB57FCD" w14:textId="77777777" w:rsidR="00B409C0" w:rsidRPr="006F5663" w:rsidRDefault="00B409C0" w:rsidP="00B409C0">
      <w:pPr>
        <w:adjustRightInd w:val="0"/>
        <w:snapToGrid w:val="0"/>
        <w:spacing w:beforeLines="50" w:before="156" w:after="160" w:line="360" w:lineRule="auto"/>
        <w:jc w:val="left"/>
        <w:rPr>
          <w:bCs/>
          <w:color w:val="000000"/>
          <w:sz w:val="24"/>
        </w:rPr>
      </w:pPr>
      <w:r w:rsidRPr="006F5663">
        <w:rPr>
          <w:bCs/>
          <w:color w:val="000000"/>
          <w:sz w:val="24"/>
        </w:rPr>
        <w:t xml:space="preserve">4. </w:t>
      </w:r>
      <w:r w:rsidRPr="006F5663">
        <w:rPr>
          <w:bCs/>
          <w:color w:val="000000"/>
          <w:sz w:val="24"/>
        </w:rPr>
        <w:t>验收合格后，双方签署验收文件；验收不合格的，中标人应在采购人要求期限内完成整改、补足、更换或重新调试，并承担相关费用。</w:t>
      </w:r>
    </w:p>
    <w:p w14:paraId="6FA3FE2A" w14:textId="77777777" w:rsidR="008D1B8E" w:rsidRPr="00B409C0" w:rsidRDefault="008D1B8E"/>
    <w:sectPr w:rsidR="008D1B8E" w:rsidRPr="00B409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468CC" w14:textId="77777777" w:rsidR="00D67764" w:rsidRDefault="00D67764" w:rsidP="00B409C0">
      <w:r>
        <w:separator/>
      </w:r>
    </w:p>
  </w:endnote>
  <w:endnote w:type="continuationSeparator" w:id="0">
    <w:p w14:paraId="77C4BCA0" w14:textId="77777777" w:rsidR="00D67764" w:rsidRDefault="00D67764" w:rsidP="00B40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A994" w14:textId="77777777" w:rsidR="00D67764" w:rsidRDefault="00D67764" w:rsidP="00B409C0">
      <w:r>
        <w:separator/>
      </w:r>
    </w:p>
  </w:footnote>
  <w:footnote w:type="continuationSeparator" w:id="0">
    <w:p w14:paraId="4D7727AF" w14:textId="77777777" w:rsidR="00D67764" w:rsidRDefault="00D67764" w:rsidP="00B40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61034"/>
    <w:multiLevelType w:val="multilevel"/>
    <w:tmpl w:val="6A761034"/>
    <w:lvl w:ilvl="0">
      <w:start w:val="4"/>
      <w:numFmt w:val="japaneseCounting"/>
      <w:lvlText w:val="%1、"/>
      <w:lvlJc w:val="left"/>
      <w:pPr>
        <w:ind w:left="504" w:hanging="504"/>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1B1AA4B"/>
    <w:multiLevelType w:val="singleLevel"/>
    <w:tmpl w:val="71B1AA4B"/>
    <w:lvl w:ilvl="0">
      <w:start w:val="1"/>
      <w:numFmt w:val="chineseCounting"/>
      <w:suff w:val="nothing"/>
      <w:lvlText w:val="%1、"/>
      <w:lvlJc w:val="left"/>
      <w:rPr>
        <w:rFonts w:hint="eastAsia"/>
      </w:rPr>
    </w:lvl>
  </w:abstractNum>
  <w:num w:numId="1" w16cid:durableId="1622492341">
    <w:abstractNumId w:val="1"/>
  </w:num>
  <w:num w:numId="2" w16cid:durableId="585727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09"/>
    <w:rsid w:val="005A0A09"/>
    <w:rsid w:val="005E1316"/>
    <w:rsid w:val="007A7A57"/>
    <w:rsid w:val="00815BA7"/>
    <w:rsid w:val="008670C4"/>
    <w:rsid w:val="008B0648"/>
    <w:rsid w:val="008D1B8E"/>
    <w:rsid w:val="00B409C0"/>
    <w:rsid w:val="00BD2717"/>
    <w:rsid w:val="00D47D3C"/>
    <w:rsid w:val="00D67764"/>
    <w:rsid w:val="00F32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86A500-039E-450C-9257-D256AA61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9C0"/>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5A0A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0A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0A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0A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0A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0A0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0A0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0A0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A0A0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0A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0A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0A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0A09"/>
    <w:rPr>
      <w:rFonts w:cstheme="majorBidi"/>
      <w:color w:val="2F5496" w:themeColor="accent1" w:themeShade="BF"/>
      <w:sz w:val="28"/>
      <w:szCs w:val="28"/>
    </w:rPr>
  </w:style>
  <w:style w:type="character" w:customStyle="1" w:styleId="50">
    <w:name w:val="标题 5 字符"/>
    <w:basedOn w:val="a0"/>
    <w:link w:val="5"/>
    <w:uiPriority w:val="9"/>
    <w:semiHidden/>
    <w:rsid w:val="005A0A09"/>
    <w:rPr>
      <w:rFonts w:cstheme="majorBidi"/>
      <w:color w:val="2F5496" w:themeColor="accent1" w:themeShade="BF"/>
      <w:sz w:val="24"/>
    </w:rPr>
  </w:style>
  <w:style w:type="character" w:customStyle="1" w:styleId="60">
    <w:name w:val="标题 6 字符"/>
    <w:basedOn w:val="a0"/>
    <w:link w:val="6"/>
    <w:uiPriority w:val="9"/>
    <w:semiHidden/>
    <w:rsid w:val="005A0A09"/>
    <w:rPr>
      <w:rFonts w:cstheme="majorBidi"/>
      <w:b/>
      <w:bCs/>
      <w:color w:val="2F5496" w:themeColor="accent1" w:themeShade="BF"/>
    </w:rPr>
  </w:style>
  <w:style w:type="character" w:customStyle="1" w:styleId="70">
    <w:name w:val="标题 7 字符"/>
    <w:basedOn w:val="a0"/>
    <w:link w:val="7"/>
    <w:uiPriority w:val="9"/>
    <w:semiHidden/>
    <w:rsid w:val="005A0A09"/>
    <w:rPr>
      <w:rFonts w:cstheme="majorBidi"/>
      <w:b/>
      <w:bCs/>
      <w:color w:val="595959" w:themeColor="text1" w:themeTint="A6"/>
    </w:rPr>
  </w:style>
  <w:style w:type="character" w:customStyle="1" w:styleId="80">
    <w:name w:val="标题 8 字符"/>
    <w:basedOn w:val="a0"/>
    <w:link w:val="8"/>
    <w:uiPriority w:val="9"/>
    <w:semiHidden/>
    <w:rsid w:val="005A0A09"/>
    <w:rPr>
      <w:rFonts w:cstheme="majorBidi"/>
      <w:color w:val="595959" w:themeColor="text1" w:themeTint="A6"/>
    </w:rPr>
  </w:style>
  <w:style w:type="character" w:customStyle="1" w:styleId="90">
    <w:name w:val="标题 9 字符"/>
    <w:basedOn w:val="a0"/>
    <w:link w:val="9"/>
    <w:uiPriority w:val="9"/>
    <w:semiHidden/>
    <w:rsid w:val="005A0A09"/>
    <w:rPr>
      <w:rFonts w:eastAsiaTheme="majorEastAsia" w:cstheme="majorBidi"/>
      <w:color w:val="595959" w:themeColor="text1" w:themeTint="A6"/>
    </w:rPr>
  </w:style>
  <w:style w:type="paragraph" w:styleId="a3">
    <w:name w:val="Title"/>
    <w:basedOn w:val="a"/>
    <w:next w:val="a"/>
    <w:link w:val="a4"/>
    <w:uiPriority w:val="10"/>
    <w:qFormat/>
    <w:rsid w:val="005A0A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0A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0A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0A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0A09"/>
    <w:pPr>
      <w:spacing w:before="160"/>
      <w:jc w:val="center"/>
    </w:pPr>
    <w:rPr>
      <w:i/>
      <w:iCs/>
      <w:color w:val="404040" w:themeColor="text1" w:themeTint="BF"/>
    </w:rPr>
  </w:style>
  <w:style w:type="character" w:customStyle="1" w:styleId="a8">
    <w:name w:val="引用 字符"/>
    <w:basedOn w:val="a0"/>
    <w:link w:val="a7"/>
    <w:uiPriority w:val="29"/>
    <w:rsid w:val="005A0A09"/>
    <w:rPr>
      <w:i/>
      <w:iCs/>
      <w:color w:val="404040" w:themeColor="text1" w:themeTint="BF"/>
    </w:rPr>
  </w:style>
  <w:style w:type="paragraph" w:styleId="a9">
    <w:name w:val="List Paragraph"/>
    <w:basedOn w:val="a"/>
    <w:uiPriority w:val="34"/>
    <w:qFormat/>
    <w:rsid w:val="005A0A09"/>
    <w:pPr>
      <w:ind w:left="720"/>
      <w:contextualSpacing/>
    </w:pPr>
  </w:style>
  <w:style w:type="character" w:styleId="aa">
    <w:name w:val="Intense Emphasis"/>
    <w:basedOn w:val="a0"/>
    <w:uiPriority w:val="21"/>
    <w:qFormat/>
    <w:rsid w:val="005A0A09"/>
    <w:rPr>
      <w:i/>
      <w:iCs/>
      <w:color w:val="2F5496" w:themeColor="accent1" w:themeShade="BF"/>
    </w:rPr>
  </w:style>
  <w:style w:type="paragraph" w:styleId="ab">
    <w:name w:val="Intense Quote"/>
    <w:basedOn w:val="a"/>
    <w:next w:val="a"/>
    <w:link w:val="ac"/>
    <w:uiPriority w:val="30"/>
    <w:qFormat/>
    <w:rsid w:val="005A0A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0A09"/>
    <w:rPr>
      <w:i/>
      <w:iCs/>
      <w:color w:val="2F5496" w:themeColor="accent1" w:themeShade="BF"/>
    </w:rPr>
  </w:style>
  <w:style w:type="character" w:styleId="ad">
    <w:name w:val="Intense Reference"/>
    <w:basedOn w:val="a0"/>
    <w:uiPriority w:val="32"/>
    <w:qFormat/>
    <w:rsid w:val="005A0A09"/>
    <w:rPr>
      <w:b/>
      <w:bCs/>
      <w:smallCaps/>
      <w:color w:val="2F5496" w:themeColor="accent1" w:themeShade="BF"/>
      <w:spacing w:val="5"/>
    </w:rPr>
  </w:style>
  <w:style w:type="paragraph" w:styleId="ae">
    <w:name w:val="header"/>
    <w:basedOn w:val="a"/>
    <w:link w:val="af"/>
    <w:uiPriority w:val="99"/>
    <w:unhideWhenUsed/>
    <w:rsid w:val="00B409C0"/>
    <w:pPr>
      <w:tabs>
        <w:tab w:val="center" w:pos="4153"/>
        <w:tab w:val="right" w:pos="8306"/>
      </w:tabs>
      <w:snapToGrid w:val="0"/>
      <w:jc w:val="center"/>
    </w:pPr>
    <w:rPr>
      <w:sz w:val="18"/>
      <w:szCs w:val="18"/>
    </w:rPr>
  </w:style>
  <w:style w:type="character" w:customStyle="1" w:styleId="af">
    <w:name w:val="页眉 字符"/>
    <w:basedOn w:val="a0"/>
    <w:link w:val="ae"/>
    <w:uiPriority w:val="99"/>
    <w:rsid w:val="00B409C0"/>
    <w:rPr>
      <w:sz w:val="18"/>
      <w:szCs w:val="18"/>
    </w:rPr>
  </w:style>
  <w:style w:type="paragraph" w:styleId="af0">
    <w:name w:val="footer"/>
    <w:basedOn w:val="a"/>
    <w:link w:val="af1"/>
    <w:uiPriority w:val="99"/>
    <w:unhideWhenUsed/>
    <w:rsid w:val="00B409C0"/>
    <w:pPr>
      <w:tabs>
        <w:tab w:val="center" w:pos="4153"/>
        <w:tab w:val="right" w:pos="8306"/>
      </w:tabs>
      <w:snapToGrid w:val="0"/>
    </w:pPr>
    <w:rPr>
      <w:sz w:val="18"/>
      <w:szCs w:val="18"/>
    </w:rPr>
  </w:style>
  <w:style w:type="character" w:customStyle="1" w:styleId="af1">
    <w:name w:val="页脚 字符"/>
    <w:basedOn w:val="a0"/>
    <w:link w:val="af0"/>
    <w:uiPriority w:val="99"/>
    <w:rsid w:val="00B409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842</Words>
  <Characters>936</Characters>
  <Application>Microsoft Office Word</Application>
  <DocSecurity>0</DocSecurity>
  <Lines>46</Lines>
  <Paragraphs>55</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2026-04-16T07:54:00Z</dcterms:created>
  <dcterms:modified xsi:type="dcterms:W3CDTF">2026-04-17T01:39:00Z</dcterms:modified>
</cp:coreProperties>
</file>