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8AA51">
      <w:pPr>
        <w:pStyle w:val="3"/>
        <w:widowControl/>
        <w:snapToGrid w:val="0"/>
        <w:spacing w:before="0" w:after="0" w:line="360" w:lineRule="auto"/>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采购需求及技术规格要求</w:t>
      </w:r>
    </w:p>
    <w:p w14:paraId="16AAC0DC">
      <w:pPr>
        <w:adjustRightInd w:val="0"/>
        <w:snapToGrid w:val="0"/>
        <w:spacing w:before="120" w:beforeLines="50" w:line="360" w:lineRule="auto"/>
        <w:rPr>
          <w:b/>
          <w:color w:val="000000" w:themeColor="text1"/>
          <w:sz w:val="24"/>
          <w:highlight w:val="none"/>
          <w14:textFill>
            <w14:solidFill>
              <w14:schemeClr w14:val="tx1"/>
            </w14:solidFill>
          </w14:textFill>
        </w:rPr>
      </w:pPr>
      <w:bookmarkStart w:id="0" w:name="_Hlk60938700"/>
      <w:r>
        <w:rPr>
          <w:b/>
          <w:color w:val="000000" w:themeColor="text1"/>
          <w:sz w:val="24"/>
          <w:highlight w:val="none"/>
          <w14:textFill>
            <w14:solidFill>
              <w14:schemeClr w14:val="tx1"/>
            </w14:solidFill>
          </w14:textFill>
        </w:rPr>
        <w:t>1</w:t>
      </w:r>
      <w:r>
        <w:rPr>
          <w:rFonts w:hint="eastAsia"/>
          <w:b/>
          <w:color w:val="000000" w:themeColor="text1"/>
          <w:sz w:val="24"/>
          <w:highlight w:val="none"/>
          <w14:textFill>
            <w14:solidFill>
              <w14:schemeClr w14:val="tx1"/>
            </w14:solidFill>
          </w14:textFill>
        </w:rPr>
        <w:t>、</w:t>
      </w:r>
      <w:r>
        <w:rPr>
          <w:b/>
          <w:color w:val="000000" w:themeColor="text1"/>
          <w:sz w:val="24"/>
          <w:highlight w:val="none"/>
          <w14:textFill>
            <w14:solidFill>
              <w14:schemeClr w14:val="tx1"/>
            </w14:solidFill>
          </w14:textFill>
        </w:rPr>
        <w:t>货物需求一览表</w:t>
      </w:r>
    </w:p>
    <w:p w14:paraId="6B006A62">
      <w:pPr>
        <w:widowControl/>
        <w:spacing w:line="360" w:lineRule="auto"/>
        <w:ind w:firstLine="420" w:firstLineChars="200"/>
        <w:rPr>
          <w:rFonts w:ascii="宋体" w:hAnsi="宋体"/>
          <w:color w:val="000000" w:themeColor="text1"/>
          <w:szCs w:val="21"/>
          <w:highlight w:val="none"/>
          <w14:textFill>
            <w14:solidFill>
              <w14:schemeClr w14:val="tx1"/>
            </w14:solidFill>
          </w14:textFill>
        </w:rPr>
      </w:pPr>
    </w:p>
    <w:tbl>
      <w:tblPr>
        <w:tblStyle w:val="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3378"/>
        <w:gridCol w:w="1239"/>
        <w:gridCol w:w="1294"/>
        <w:gridCol w:w="1790"/>
      </w:tblGrid>
      <w:tr w14:paraId="21E3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14:paraId="08AE4BFD">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3378" w:type="dxa"/>
            <w:noWrap w:val="0"/>
            <w:vAlign w:val="center"/>
          </w:tcPr>
          <w:p w14:paraId="6F8528C2">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货物名称</w:t>
            </w:r>
          </w:p>
        </w:tc>
        <w:tc>
          <w:tcPr>
            <w:tcW w:w="1239" w:type="dxa"/>
            <w:noWrap w:val="0"/>
            <w:vAlign w:val="center"/>
          </w:tcPr>
          <w:p w14:paraId="3024496C">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1294" w:type="dxa"/>
            <w:noWrap w:val="0"/>
            <w:vAlign w:val="center"/>
          </w:tcPr>
          <w:p w14:paraId="162AFCD1">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预算（万元）</w:t>
            </w:r>
          </w:p>
        </w:tc>
        <w:tc>
          <w:tcPr>
            <w:tcW w:w="1790" w:type="dxa"/>
            <w:noWrap w:val="0"/>
            <w:vAlign w:val="center"/>
          </w:tcPr>
          <w:p w14:paraId="2AA59E46">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期</w:t>
            </w:r>
          </w:p>
        </w:tc>
      </w:tr>
      <w:tr w14:paraId="35D3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4" w:type="dxa"/>
            <w:noWrap w:val="0"/>
            <w:vAlign w:val="center"/>
          </w:tcPr>
          <w:p w14:paraId="6EB5C7D7">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1</w:t>
            </w:r>
          </w:p>
        </w:tc>
        <w:tc>
          <w:tcPr>
            <w:tcW w:w="3378" w:type="dxa"/>
            <w:noWrap w:val="0"/>
            <w:vAlign w:val="center"/>
          </w:tcPr>
          <w:p w14:paraId="0C00AE2D">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CC磁体测试装配集成及辅助外协服务</w:t>
            </w:r>
          </w:p>
        </w:tc>
        <w:tc>
          <w:tcPr>
            <w:tcW w:w="1239" w:type="dxa"/>
            <w:noWrap w:val="0"/>
            <w:vAlign w:val="center"/>
          </w:tcPr>
          <w:p w14:paraId="56AAB181">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1</w:t>
            </w:r>
          </w:p>
        </w:tc>
        <w:tc>
          <w:tcPr>
            <w:tcW w:w="1294" w:type="dxa"/>
            <w:noWrap w:val="0"/>
            <w:vAlign w:val="center"/>
          </w:tcPr>
          <w:p w14:paraId="1015D989">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260.00</w:t>
            </w:r>
          </w:p>
        </w:tc>
        <w:tc>
          <w:tcPr>
            <w:tcW w:w="1790" w:type="dxa"/>
            <w:noWrap w:val="0"/>
            <w:vAlign w:val="center"/>
          </w:tcPr>
          <w:p w14:paraId="28328E43">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200天</w:t>
            </w:r>
          </w:p>
        </w:tc>
      </w:tr>
    </w:tbl>
    <w:p w14:paraId="4FBE8102">
      <w:pPr>
        <w:adjustRightInd w:val="0"/>
        <w:snapToGrid w:val="0"/>
        <w:spacing w:line="360" w:lineRule="auto"/>
        <w:ind w:firstLine="482" w:firstLineChars="200"/>
        <w:rPr>
          <w:rFonts w:hint="eastAsia"/>
          <w:b/>
          <w:color w:val="000000" w:themeColor="text1"/>
          <w:sz w:val="24"/>
          <w:highlight w:val="none"/>
          <w14:textFill>
            <w14:solidFill>
              <w14:schemeClr w14:val="tx1"/>
            </w14:solidFill>
          </w14:textFill>
        </w:rPr>
      </w:pPr>
      <w:bookmarkStart w:id="1" w:name="_Toc509153917"/>
      <w:bookmarkStart w:id="2" w:name="_Toc30409514"/>
      <w:bookmarkStart w:id="3" w:name="_Toc532807472"/>
      <w:bookmarkStart w:id="4" w:name="_Toc257021215"/>
      <w:bookmarkStart w:id="5" w:name="_Toc12010788"/>
      <w:bookmarkStart w:id="6" w:name="_Toc12010815"/>
    </w:p>
    <w:p w14:paraId="56FFF308">
      <w:pPr>
        <w:adjustRightInd w:val="0"/>
        <w:snapToGrid w:val="0"/>
        <w:spacing w:before="120" w:beforeLines="50" w:line="360" w:lineRule="auto"/>
        <w:rPr>
          <w:rFonts w:hint="eastAsia"/>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2</w:t>
      </w:r>
      <w:r>
        <w:rPr>
          <w:rFonts w:hint="eastAsia"/>
          <w:b/>
          <w:color w:val="000000" w:themeColor="text1"/>
          <w:sz w:val="24"/>
          <w:highlight w:val="none"/>
          <w14:textFill>
            <w14:solidFill>
              <w14:schemeClr w14:val="tx1"/>
            </w14:solidFill>
          </w14:textFill>
        </w:rPr>
        <w:t>、</w:t>
      </w:r>
      <w:r>
        <w:rPr>
          <w:b/>
          <w:color w:val="000000" w:themeColor="text1"/>
          <w:sz w:val="24"/>
          <w:highlight w:val="none"/>
          <w14:textFill>
            <w14:solidFill>
              <w14:schemeClr w14:val="tx1"/>
            </w14:solidFill>
          </w14:textFill>
        </w:rPr>
        <w:t>工程技术要求</w:t>
      </w:r>
      <w:bookmarkEnd w:id="1"/>
      <w:bookmarkEnd w:id="2"/>
      <w:bookmarkEnd w:id="3"/>
      <w:bookmarkEnd w:id="4"/>
      <w:bookmarkEnd w:id="5"/>
      <w:bookmarkEnd w:id="6"/>
    </w:p>
    <w:p w14:paraId="5E715983">
      <w:pPr>
        <w:adjustRightInd w:val="0"/>
        <w:snapToGrid w:val="0"/>
        <w:spacing w:before="120" w:beforeLines="50"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2.</w:t>
      </w:r>
      <w:r>
        <w:rPr>
          <w:rFonts w:hint="eastAsia"/>
          <w:b/>
          <w:color w:val="000000" w:themeColor="text1"/>
          <w:sz w:val="24"/>
          <w:highlight w:val="none"/>
          <w14:textFill>
            <w14:solidFill>
              <w14:schemeClr w14:val="tx1"/>
            </w14:solidFill>
          </w14:textFill>
        </w:rPr>
        <w:t>1、</w:t>
      </w:r>
      <w:r>
        <w:rPr>
          <w:b/>
          <w:color w:val="000000" w:themeColor="text1"/>
          <w:sz w:val="24"/>
          <w:highlight w:val="none"/>
          <w14:textFill>
            <w14:solidFill>
              <w14:schemeClr w14:val="tx1"/>
            </w14:solidFill>
          </w14:textFill>
        </w:rPr>
        <w:t>主要用途及功能</w:t>
      </w:r>
    </w:p>
    <w:p w14:paraId="66CE905E">
      <w:pPr>
        <w:keepNext w:val="0"/>
        <w:keepLines w:val="0"/>
        <w:widowControl/>
        <w:suppressLineNumbers w:val="0"/>
        <w:snapToGrid w:val="0"/>
        <w:spacing w:before="120" w:beforeLines="5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CC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线圈包含</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8</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个线圈，环向分布，垂直方向分布在</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PF3</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和</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PF4</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之间，径向方向介于</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PF</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和外冷屏之间。校正场线圈（</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CC</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）主要用于补偿由于线圈系统制造公差、接头、引线、母线和装配公差导致的线圈错位和绕组偏离标称形状而产生的场误差；另外，</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BEST CC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线圈还用于排除等离子体高参数运行过程中产生的钨杂质。</w:t>
      </w:r>
    </w:p>
    <w:p w14:paraId="423D4ED9">
      <w:pPr>
        <w:keepNext w:val="0"/>
        <w:keepLines w:val="0"/>
        <w:widowControl/>
        <w:suppressLineNumbers w:val="0"/>
        <w:snapToGrid w:val="0"/>
        <w:spacing w:before="120" w:beforeLines="5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BEST CC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超导线圈的总体布局如图</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1.1</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所示，</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CC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线圈沿赤道面上、下对称分布。</w:t>
      </w:r>
    </w:p>
    <w:p w14:paraId="195936FC">
      <w:pPr>
        <w:keepNext w:val="0"/>
        <w:keepLines w:val="0"/>
        <w:widowControl/>
        <w:suppressLineNumbers w:val="0"/>
        <w:snapToGrid w:val="0"/>
        <w:spacing w:before="120" w:beforeLines="50" w:beforeAutospacing="0" w:after="0" w:afterAutospacing="0" w:line="360" w:lineRule="auto"/>
        <w:ind w:left="0" w:right="0" w:firstLine="420" w:firstLineChars="200"/>
        <w:jc w:val="center"/>
        <w:rPr>
          <w:rFonts w:hint="eastAsia" w:ascii="宋体" w:hAnsi="宋体" w:eastAsia="宋体" w:cs="宋体"/>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position w:val="-68"/>
          <w:sz w:val="21"/>
          <w:szCs w:val="24"/>
          <w:highlight w:val="none"/>
          <w:lang w:val="en-US" w:eastAsia="zh-CN" w:bidi="ar"/>
          <w14:textFill>
            <w14:solidFill>
              <w14:schemeClr w14:val="tx1"/>
            </w14:solidFill>
          </w14:textFill>
        </w:rPr>
        <w:drawing>
          <wp:inline distT="0" distB="0" distL="114300" distR="114300">
            <wp:extent cx="2544445" cy="2377440"/>
            <wp:effectExtent l="0" t="0" r="635" b="0"/>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4"/>
                    <a:stretch>
                      <a:fillRect/>
                    </a:stretch>
                  </pic:blipFill>
                  <pic:spPr>
                    <a:xfrm>
                      <a:off x="0" y="0"/>
                      <a:ext cx="2544445" cy="2377440"/>
                    </a:xfrm>
                    <a:prstGeom prst="rect">
                      <a:avLst/>
                    </a:prstGeom>
                    <a:noFill/>
                    <a:ln>
                      <a:noFill/>
                    </a:ln>
                  </pic:spPr>
                </pic:pic>
              </a:graphicData>
            </a:graphic>
          </wp:inline>
        </w:drawing>
      </w:r>
    </w:p>
    <w:p w14:paraId="0611AF5C">
      <w:pPr>
        <w:keepNext w:val="0"/>
        <w:keepLines w:val="0"/>
        <w:widowControl/>
        <w:suppressLineNumbers w:val="0"/>
        <w:snapToGrid w:val="0"/>
        <w:spacing w:before="120" w:beforeLines="50" w:beforeAutospacing="0" w:after="0" w:afterAutospacing="0" w:line="360" w:lineRule="auto"/>
        <w:ind w:left="0" w:right="0" w:firstLine="420" w:firstLineChars="200"/>
        <w:jc w:val="center"/>
        <w:rPr>
          <w:color w:val="000000" w:themeColor="text1"/>
          <w:szCs w:val="21"/>
          <w:highlight w:val="none"/>
          <w:lang w:val="en-US"/>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图</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1.1  BEST CC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线圈总体布局</w:t>
      </w:r>
    </w:p>
    <w:p w14:paraId="1855B381">
      <w:pPr>
        <w:keepNext w:val="0"/>
        <w:keepLines w:val="0"/>
        <w:widowControl/>
        <w:suppressLineNumbers w:val="0"/>
        <w:jc w:val="left"/>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CC</w:t>
      </w: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室温测试将在圆形测试装置</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II</w:t>
      </w: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中进行，该平台低温恒温器，直径</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7.7m</w:t>
      </w: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，高</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9m</w:t>
      </w: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；平台拥有</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3</w:t>
      </w: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台</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3600L/s</w:t>
      </w: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，常温条件下，能够提供</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10</w:t>
      </w:r>
      <w:r>
        <w:rPr>
          <w:rFonts w:hint="default" w:ascii="Times New Roman" w:hAnsi="Times New Roman" w:eastAsia="宋体" w:cs="Times New Roman"/>
          <w:color w:val="000000" w:themeColor="text1"/>
          <w:kern w:val="2"/>
          <w:sz w:val="21"/>
          <w:szCs w:val="21"/>
          <w:highlight w:val="none"/>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Pa</w:t>
      </w: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量级的真空环境；场地示意如图</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1.2</w:t>
      </w: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所示。</w:t>
      </w:r>
    </w:p>
    <w:p w14:paraId="05569E49">
      <w:pPr>
        <w:keepNext w:val="0"/>
        <w:keepLines w:val="0"/>
        <w:widowControl/>
        <w:suppressLineNumbers w:val="0"/>
        <w:snapToGrid w:val="0"/>
        <w:spacing w:before="120" w:beforeLines="50" w:beforeAutospacing="0" w:after="0" w:afterAutospacing="0" w:line="360" w:lineRule="auto"/>
        <w:ind w:left="0" w:right="0" w:firstLine="420" w:firstLineChars="200"/>
        <w:jc w:val="center"/>
        <w:rPr>
          <w:rFonts w:hint="eastAsia" w:ascii="宋体" w:hAnsi="宋体" w:eastAsia="宋体" w:cs="宋体"/>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drawing>
          <wp:inline distT="0" distB="0" distL="114300" distR="114300">
            <wp:extent cx="5349240" cy="29718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5349240" cy="2971800"/>
                    </a:xfrm>
                    <a:prstGeom prst="rect">
                      <a:avLst/>
                    </a:prstGeom>
                    <a:noFill/>
                    <a:ln>
                      <a:noFill/>
                    </a:ln>
                  </pic:spPr>
                </pic:pic>
              </a:graphicData>
            </a:graphic>
          </wp:inline>
        </w:drawing>
      </w:r>
    </w:p>
    <w:p w14:paraId="1F598E2D">
      <w:pPr>
        <w:keepNext w:val="0"/>
        <w:keepLines w:val="0"/>
        <w:widowControl/>
        <w:suppressLineNumbers w:val="0"/>
        <w:snapToGrid w:val="0"/>
        <w:spacing w:before="120" w:beforeLines="50" w:beforeAutospacing="0" w:after="0" w:afterAutospacing="0" w:line="360" w:lineRule="auto"/>
        <w:ind w:left="0" w:right="0" w:firstLine="420" w:firstLineChars="200"/>
        <w:jc w:val="center"/>
        <w:rPr>
          <w:color w:val="000000" w:themeColor="text1"/>
          <w:szCs w:val="21"/>
          <w:highlight w:val="none"/>
          <w:lang w:val="en-US"/>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图</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1.2  CC</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测试场地</w:t>
      </w:r>
    </w:p>
    <w:p w14:paraId="681857B0">
      <w:pPr>
        <w:keepNext w:val="0"/>
        <w:keepLines w:val="0"/>
        <w:widowControl/>
        <w:suppressLineNumbers w:val="0"/>
        <w:snapToGrid w:val="0"/>
        <w:spacing w:before="120" w:beforeLines="50" w:beforeAutospacing="0" w:after="0" w:afterAutospacing="0" w:line="360" w:lineRule="auto"/>
        <w:ind w:left="0" w:right="0" w:firstLine="420" w:firstLineChars="200"/>
        <w:jc w:val="left"/>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CC</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线圈主要开展常温性能测试，测试内容为绝缘耐压测试（直流耐压测试、帕森放电测试）、氦气密性检测以及压降测试。</w:t>
      </w:r>
    </w:p>
    <w:p w14:paraId="0C5ED737">
      <w:pPr>
        <w:keepNext w:val="0"/>
        <w:keepLines w:val="0"/>
        <w:widowControl/>
        <w:suppressLineNumbers w:val="0"/>
        <w:snapToGrid w:val="0"/>
        <w:spacing w:before="120" w:beforeLines="50" w:beforeAutospacing="0" w:after="0" w:afterAutospacing="0" w:line="360" w:lineRule="auto"/>
        <w:ind w:left="0" w:right="0" w:firstLine="420" w:firstLineChars="200"/>
        <w:jc w:val="both"/>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测试过程中，需要进行</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CC</w:t>
      </w: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线圈杜瓦外集成，</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CC</w:t>
      </w: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线圈杜瓦内集成、</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CC</w:t>
      </w: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线圈测试中相关工作以及磁体测试后拆除及包装运输等工作。除主体测试工作外，需要添加相应的设备和人员完成拆装集成等相应辅助工作。</w:t>
      </w:r>
    </w:p>
    <w:p w14:paraId="616DB5AC">
      <w:pPr>
        <w:adjustRightInd w:val="0"/>
        <w:snapToGrid w:val="0"/>
        <w:spacing w:before="120" w:beforeLines="50" w:line="360" w:lineRule="auto"/>
        <w:rPr>
          <w:rFonts w:hint="eastAsia" w:ascii="Times New Roman" w:hAnsi="Times New Roman" w:eastAsia="宋体" w:cs="Times New Roman"/>
          <w:b/>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b/>
          <w:color w:val="000000" w:themeColor="text1"/>
          <w:sz w:val="24"/>
          <w:highlight w:val="none"/>
          <w:lang w:val="en-US" w:eastAsia="zh-CN"/>
          <w14:textFill>
            <w14:solidFill>
              <w14:schemeClr w14:val="tx1"/>
            </w14:solidFill>
          </w14:textFill>
        </w:rPr>
        <w:t>2.2、CC磁体测试外协服务范围</w:t>
      </w:r>
    </w:p>
    <w:p w14:paraId="78BA10BD">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CC</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线圈测试外协主要包括原线圈及相关部件拆除，</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CC</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线圈杜瓦外集成，</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CC</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线圈杜瓦内集成、线圈测试中相关工作以及线圈测试后拆除及包装运输服务。</w:t>
      </w:r>
    </w:p>
    <w:p w14:paraId="083540DB">
      <w:pPr>
        <w:pStyle w:val="4"/>
        <w:widowControl/>
        <w:adjustRightInd w:val="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.1 </w:t>
      </w:r>
      <w:r>
        <w:rPr>
          <w:rFonts w:ascii="Times New Roman" w:hAnsi="Times New Roman"/>
          <w:color w:val="000000" w:themeColor="text1"/>
          <w:sz w:val="21"/>
          <w:szCs w:val="21"/>
          <w:highlight w:val="none"/>
          <w:lang w:eastAsia="zh-CN"/>
          <w14:textFill>
            <w14:solidFill>
              <w14:schemeClr w14:val="tx1"/>
            </w14:solidFill>
          </w14:textFill>
        </w:rPr>
        <w:t>线圈转运及拆箱接收检查</w:t>
      </w:r>
    </w:p>
    <w:p w14:paraId="55CF21BB">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1)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线圈转运至</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8#</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厂房下车，起吊至指定位置。</w:t>
      </w:r>
    </w:p>
    <w:p w14:paraId="5A473182">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2)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拆箱进行接收检查，主要包括外观检查，紧固件、高低电压引线完整性检查以及进行高电压绝缘测试。</w:t>
      </w:r>
    </w:p>
    <w:p w14:paraId="1BD11A0F">
      <w:pPr>
        <w:pStyle w:val="4"/>
        <w:widowControl/>
        <w:adjustRightInd w:val="0"/>
        <w:rPr>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2.2</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CC线圈杜</w:t>
      </w:r>
      <w:r>
        <w:rPr>
          <w:color w:val="000000" w:themeColor="text1"/>
          <w:sz w:val="21"/>
          <w:szCs w:val="21"/>
          <w:highlight w:val="none"/>
          <w:lang w:eastAsia="zh-CN"/>
          <w14:textFill>
            <w14:solidFill>
              <w14:schemeClr w14:val="tx1"/>
            </w14:solidFill>
          </w14:textFill>
        </w:rPr>
        <w:t>瓦外集成</w:t>
      </w:r>
    </w:p>
    <w:p w14:paraId="35516153">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1)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绝缘处理，线圈端子接头进行湿包处理，高压线接头进行绝缘固化处理，确保线圈能够完成</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2kV</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直流耐压测试。</w:t>
      </w:r>
    </w:p>
    <w:p w14:paraId="23C93312">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2)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准备不锈钢材质线圈支撑架，将</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CC</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线圈转移至线圈支撑架，进行螺栓固定。</w:t>
      </w:r>
    </w:p>
    <w:p w14:paraId="15BA2DA2">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3)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切除保压管道，确保线圈进出口通畅。</w:t>
      </w:r>
    </w:p>
    <w:p w14:paraId="30E875C3">
      <w:pPr>
        <w:pStyle w:val="4"/>
        <w:widowControl/>
        <w:adjustRightInd w:val="0"/>
        <w:rPr>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2.</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3 CC线</w:t>
      </w:r>
      <w:r>
        <w:rPr>
          <w:color w:val="000000" w:themeColor="text1"/>
          <w:sz w:val="21"/>
          <w:szCs w:val="21"/>
          <w:highlight w:val="none"/>
          <w:lang w:eastAsia="zh-CN"/>
          <w14:textFill>
            <w14:solidFill>
              <w14:schemeClr w14:val="tx1"/>
            </w14:solidFill>
          </w14:textFill>
        </w:rPr>
        <w:t>圈及支撑架吊装转运</w:t>
      </w:r>
    </w:p>
    <w:p w14:paraId="3D00A16B">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使用厂房内行车同时吊装转运磁体及支撑架。</w:t>
      </w:r>
    </w:p>
    <w:p w14:paraId="16D4D9AC">
      <w:pPr>
        <w:pStyle w:val="4"/>
        <w:widowControl/>
        <w:adjustRightInd w:val="0"/>
        <w:rPr>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2.2.4 CC</w:t>
      </w:r>
      <w:r>
        <w:rPr>
          <w:rFonts w:hint="default" w:ascii="Times New Roman" w:hAnsi="Times New Roman" w:cs="Times New Roman"/>
          <w:color w:val="000000" w:themeColor="text1"/>
          <w:sz w:val="21"/>
          <w:szCs w:val="21"/>
          <w:highlight w:val="none"/>
          <w:lang w:eastAsia="zh-CN"/>
          <w14:textFill>
            <w14:solidFill>
              <w14:schemeClr w14:val="tx1"/>
            </w14:solidFill>
          </w14:textFill>
        </w:rPr>
        <w:t>线圈</w:t>
      </w:r>
      <w:r>
        <w:rPr>
          <w:color w:val="000000" w:themeColor="text1"/>
          <w:sz w:val="21"/>
          <w:szCs w:val="21"/>
          <w:highlight w:val="none"/>
          <w:lang w:eastAsia="zh-CN"/>
          <w14:textFill>
            <w14:solidFill>
              <w14:schemeClr w14:val="tx1"/>
            </w14:solidFill>
          </w14:textFill>
        </w:rPr>
        <w:t>杜瓦内集成</w:t>
      </w:r>
    </w:p>
    <w:p w14:paraId="41F562B5">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1)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线圈氦检漏进出压力连接管道焊接，连接至杜瓦真空窗口。</w:t>
      </w:r>
    </w:p>
    <w:p w14:paraId="02058F2E">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2)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进行高压引线连接，连接至高压航插。</w:t>
      </w:r>
    </w:p>
    <w:p w14:paraId="0F1A7924">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3)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帕森放电，杜瓦内部进行相机支撑安装及电连接，连接至真空窗口。</w:t>
      </w:r>
    </w:p>
    <w:p w14:paraId="59338517">
      <w:pPr>
        <w:pStyle w:val="4"/>
        <w:widowControl/>
        <w:adjustRightInd w:val="0"/>
        <w:rPr>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2.2.5 </w:t>
      </w:r>
      <w:r>
        <w:rPr>
          <w:rFonts w:hint="default" w:ascii="Times New Roman" w:hAnsi="Times New Roman" w:cs="Times New Roman"/>
          <w:color w:val="000000" w:themeColor="text1"/>
          <w:sz w:val="21"/>
          <w:szCs w:val="21"/>
          <w:highlight w:val="none"/>
          <w:lang w:eastAsia="zh-CN"/>
          <w14:textFill>
            <w14:solidFill>
              <w14:schemeClr w14:val="tx1"/>
            </w14:solidFill>
          </w14:textFill>
        </w:rPr>
        <w:t>测试</w:t>
      </w:r>
      <w:r>
        <w:rPr>
          <w:color w:val="000000" w:themeColor="text1"/>
          <w:sz w:val="21"/>
          <w:szCs w:val="21"/>
          <w:highlight w:val="none"/>
          <w:lang w:eastAsia="zh-CN"/>
          <w14:textFill>
            <w14:solidFill>
              <w14:schemeClr w14:val="tx1"/>
            </w14:solidFill>
          </w14:textFill>
        </w:rPr>
        <w:t>系统安装及调试</w:t>
      </w:r>
    </w:p>
    <w:p w14:paraId="2206BFDD">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1)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进行真空机组及测量相关调试，确保测试杜瓦真空度优于</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5×10</w:t>
      </w:r>
      <w:r>
        <w:rPr>
          <w:rFonts w:hint="default" w:ascii="Times New Roman" w:hAnsi="Times New Roman" w:eastAsia="宋体" w:cs="Times New Roman"/>
          <w:color w:val="000000" w:themeColor="text1"/>
          <w:kern w:val="2"/>
          <w:sz w:val="21"/>
          <w:szCs w:val="21"/>
          <w:highlight w:val="none"/>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Pa</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p>
    <w:p w14:paraId="03363D9D">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2)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帕森系统相机视野调整及系统测试，调试相机空间分辨能力不低于</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1mm</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p>
    <w:p w14:paraId="1D16FFCD">
      <w:pPr>
        <w:pStyle w:val="4"/>
        <w:widowControl/>
        <w:adjustRightInd w:val="0"/>
        <w:rPr>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2.2.6 </w:t>
      </w:r>
      <w:r>
        <w:rPr>
          <w:rFonts w:hint="default" w:ascii="Times New Roman" w:hAnsi="Times New Roman" w:cs="Times New Roman"/>
          <w:color w:val="000000" w:themeColor="text1"/>
          <w:sz w:val="21"/>
          <w:szCs w:val="21"/>
          <w:highlight w:val="none"/>
          <w:lang w:eastAsia="zh-CN"/>
          <w14:textFill>
            <w14:solidFill>
              <w14:schemeClr w14:val="tx1"/>
            </w14:solidFill>
          </w14:textFill>
        </w:rPr>
        <w:t>线圈</w:t>
      </w:r>
      <w:r>
        <w:rPr>
          <w:color w:val="000000" w:themeColor="text1"/>
          <w:sz w:val="21"/>
          <w:szCs w:val="21"/>
          <w:highlight w:val="none"/>
          <w:lang w:eastAsia="zh-CN"/>
          <w14:textFill>
            <w14:solidFill>
              <w14:schemeClr w14:val="tx1"/>
            </w14:solidFill>
          </w14:textFill>
        </w:rPr>
        <w:t>测试服务相关工作</w:t>
      </w:r>
    </w:p>
    <w:p w14:paraId="15942DD6">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CC</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线圈测试主要包括耐电压测试、气密性测试、压降测试等。根据线圈测试进度提供人员、小型设备等服务支持。</w:t>
      </w:r>
    </w:p>
    <w:p w14:paraId="01FE13F9">
      <w:pPr>
        <w:pStyle w:val="4"/>
        <w:widowControl/>
        <w:adjustRightInd w:val="0"/>
        <w:rPr>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2.2.7 </w:t>
      </w:r>
      <w:r>
        <w:rPr>
          <w:rFonts w:hint="default" w:ascii="Times New Roman" w:hAnsi="Times New Roman" w:cs="Times New Roman"/>
          <w:color w:val="000000" w:themeColor="text1"/>
          <w:sz w:val="21"/>
          <w:szCs w:val="21"/>
          <w:highlight w:val="none"/>
          <w:lang w:eastAsia="zh-CN"/>
          <w14:textFill>
            <w14:solidFill>
              <w14:schemeClr w14:val="tx1"/>
            </w14:solidFill>
          </w14:textFill>
        </w:rPr>
        <w:t>线</w:t>
      </w:r>
      <w:r>
        <w:rPr>
          <w:color w:val="000000" w:themeColor="text1"/>
          <w:sz w:val="21"/>
          <w:szCs w:val="21"/>
          <w:highlight w:val="none"/>
          <w:lang w:eastAsia="zh-CN"/>
          <w14:textFill>
            <w14:solidFill>
              <w14:schemeClr w14:val="tx1"/>
            </w14:solidFill>
          </w14:textFill>
        </w:rPr>
        <w:t>圈测试后拆除及包装运输</w:t>
      </w:r>
    </w:p>
    <w:p w14:paraId="21507525">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1)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拆除外部压力连接管道。</w:t>
      </w:r>
    </w:p>
    <w:p w14:paraId="038DA83B">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2)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拆除外部高压线。</w:t>
      </w:r>
    </w:p>
    <w:p w14:paraId="6C7B3442">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3)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打开杜瓦，拆除内部压力管道、相机及临时支撑。</w:t>
      </w:r>
    </w:p>
    <w:p w14:paraId="0E585F53">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4)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吊出杜瓦，拆除接头表面湿包绝缘，恢复终端箱，转运至指定地方。</w:t>
      </w:r>
    </w:p>
    <w:p w14:paraId="398EEBCA">
      <w:pPr>
        <w:adjustRightInd w:val="0"/>
        <w:snapToGrid w:val="0"/>
        <w:spacing w:before="120" w:beforeLines="50" w:line="360" w:lineRule="auto"/>
        <w:rPr>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sz w:val="24"/>
          <w:highlight w:val="none"/>
          <w14:textFill>
            <w14:solidFill>
              <w14:schemeClr w14:val="tx1"/>
            </w14:solidFill>
          </w14:textFill>
        </w:rPr>
        <w:t>2.</w:t>
      </w:r>
      <w:r>
        <w:rPr>
          <w:rFonts w:hint="default" w:ascii="Times New Roman" w:hAnsi="Times New Roman" w:cs="Times New Roman"/>
          <w:b/>
          <w:color w:val="000000" w:themeColor="text1"/>
          <w:sz w:val="24"/>
          <w:highlight w:val="none"/>
          <w:lang w:val="en-US" w:eastAsia="zh-CN"/>
          <w14:textFill>
            <w14:solidFill>
              <w14:schemeClr w14:val="tx1"/>
            </w14:solidFill>
          </w14:textFill>
        </w:rPr>
        <w:t>3</w:t>
      </w:r>
      <w:r>
        <w:rPr>
          <w:rFonts w:hint="default" w:ascii="Times New Roman" w:hAnsi="Times New Roman" w:cs="Times New Roman"/>
          <w:b/>
          <w:color w:val="000000" w:themeColor="text1"/>
          <w:sz w:val="24"/>
          <w:highlight w:val="none"/>
          <w14:textFill>
            <w14:solidFill>
              <w14:schemeClr w14:val="tx1"/>
            </w14:solidFill>
          </w14:textFill>
        </w:rPr>
        <w:t>、技术</w:t>
      </w:r>
      <w:r>
        <w:rPr>
          <w:b/>
          <w:color w:val="000000" w:themeColor="text1"/>
          <w:sz w:val="24"/>
          <w:highlight w:val="none"/>
          <w14:textFill>
            <w14:solidFill>
              <w14:schemeClr w14:val="tx1"/>
            </w14:solidFill>
          </w14:textFill>
        </w:rPr>
        <w:t>性能指标要求</w:t>
      </w:r>
    </w:p>
    <w:p w14:paraId="79E6C565">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szCs w:val="21"/>
          <w:highlight w:val="none"/>
          <w:lang w:val="en-US"/>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本文所提出的技术要求并不完全包括国家规范和标准的全部要求，投标人除必须满足本文中所提出的各项要求外，还应满足相应的国家及行业标准、规范和其他相关标准、规范要求。关于</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CC</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线圈磁体测试外协服务项目，供应商需根据采购合同与技术协议的设计输入提交过程规范，现场安装及运行人员配置等</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内容。</w:t>
      </w:r>
    </w:p>
    <w:p w14:paraId="0F151B0F">
      <w:pPr>
        <w:pStyle w:val="4"/>
        <w:widowControl/>
        <w:adjustRightInd w:val="0"/>
        <w:rPr>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2.3.1 </w:t>
      </w:r>
      <w:r>
        <w:rPr>
          <w:rFonts w:hint="default" w:ascii="Times New Roman" w:hAnsi="Times New Roman" w:cs="Times New Roman"/>
          <w:color w:val="000000" w:themeColor="text1"/>
          <w:sz w:val="21"/>
          <w:szCs w:val="21"/>
          <w:highlight w:val="none"/>
          <w:lang w:eastAsia="zh-CN"/>
          <w14:textFill>
            <w14:solidFill>
              <w14:schemeClr w14:val="tx1"/>
            </w14:solidFill>
          </w14:textFill>
        </w:rPr>
        <w:t>技</w:t>
      </w:r>
      <w:r>
        <w:rPr>
          <w:color w:val="000000" w:themeColor="text1"/>
          <w:sz w:val="21"/>
          <w:szCs w:val="21"/>
          <w:highlight w:val="none"/>
          <w:lang w:eastAsia="zh-CN"/>
          <w14:textFill>
            <w14:solidFill>
              <w14:schemeClr w14:val="tx1"/>
            </w14:solidFill>
          </w14:textFill>
        </w:rPr>
        <w:t>术指标与要求</w:t>
      </w:r>
    </w:p>
    <w:p w14:paraId="013CFFAA">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CC</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线圈磁体测试服务以完成磁体测试为最终目标。磁体测试的技术关键参数和要求如下表所示：</w:t>
      </w:r>
    </w:p>
    <w:p w14:paraId="00783FE2">
      <w:pPr>
        <w:keepNext w:val="0"/>
        <w:keepLines w:val="0"/>
        <w:widowControl w:val="0"/>
        <w:suppressLineNumbers w:val="0"/>
        <w:spacing w:before="0" w:beforeAutospacing="0" w:after="0" w:afterAutospacing="0" w:line="360" w:lineRule="auto"/>
        <w:ind w:left="0" w:right="0" w:firstLine="420" w:firstLineChars="200"/>
        <w:jc w:val="center"/>
        <w:rPr>
          <w:color w:val="000000" w:themeColor="text1"/>
          <w:szCs w:val="21"/>
          <w:highlight w:val="none"/>
          <w:lang w:val="en-US"/>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表</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3.1 CC</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磁体测试关键参数与要求</w:t>
      </w:r>
    </w:p>
    <w:tbl>
      <w:tblPr>
        <w:tblStyle w:val="7"/>
        <w:tblW w:w="8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773"/>
        <w:gridCol w:w="5704"/>
      </w:tblGrid>
      <w:tr w14:paraId="3696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02" w:type="dxa"/>
            <w:tcBorders>
              <w:top w:val="single" w:color="auto" w:sz="4" w:space="0"/>
              <w:left w:val="single" w:color="auto" w:sz="4" w:space="0"/>
              <w:bottom w:val="single" w:color="auto" w:sz="4" w:space="0"/>
              <w:right w:val="single" w:color="auto" w:sz="4" w:space="0"/>
            </w:tcBorders>
            <w:noWrap w:val="0"/>
            <w:vAlign w:val="center"/>
          </w:tcPr>
          <w:p w14:paraId="205EED49">
            <w:pPr>
              <w:pStyle w:val="9"/>
              <w:keepNext w:val="0"/>
              <w:keepLines w:val="0"/>
              <w:widowControl/>
              <w:suppressLineNumbers w:val="0"/>
              <w:adjustRightInd w:val="0"/>
              <w:ind w:left="0" w:firstLine="0" w:firstLineChars="0"/>
              <w:rPr>
                <w:color w:val="000000" w:themeColor="text1"/>
                <w:highlight w:val="none"/>
                <w:lang w:val="en-US"/>
                <w14:textFill>
                  <w14:solidFill>
                    <w14:schemeClr w14:val="tx1"/>
                  </w14:solidFill>
                </w14:textFill>
              </w:rPr>
            </w:pPr>
            <w:r>
              <w:rPr>
                <w:rFonts w:hint="eastAsia" w:ascii="Times New Roman" w:hAnsi="Times New Roman" w:eastAsia="宋体" w:cs="宋体"/>
                <w:color w:val="000000" w:themeColor="text1"/>
                <w:highlight w:val="none"/>
                <w14:textFill>
                  <w14:solidFill>
                    <w14:schemeClr w14:val="tx1"/>
                  </w14:solidFill>
                </w14:textFill>
              </w:rPr>
              <w:t>序号</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74D5AF41">
            <w:pPr>
              <w:pStyle w:val="9"/>
              <w:keepNext w:val="0"/>
              <w:keepLines w:val="0"/>
              <w:widowControl/>
              <w:suppressLineNumbers w:val="0"/>
              <w:adjustRightInd w:val="0"/>
              <w:ind w:left="0" w:firstLine="0" w:firstLineChars="0"/>
              <w:rPr>
                <w:color w:val="000000" w:themeColor="text1"/>
                <w:highlight w:val="none"/>
                <w:lang w:val="en-US"/>
                <w14:textFill>
                  <w14:solidFill>
                    <w14:schemeClr w14:val="tx1"/>
                  </w14:solidFill>
                </w14:textFill>
              </w:rPr>
            </w:pPr>
            <w:r>
              <w:rPr>
                <w:rFonts w:hint="eastAsia" w:ascii="Times New Roman" w:hAnsi="Times New Roman" w:eastAsia="宋体" w:cs="宋体"/>
                <w:color w:val="000000" w:themeColor="text1"/>
                <w:highlight w:val="none"/>
                <w14:textFill>
                  <w14:solidFill>
                    <w14:schemeClr w14:val="tx1"/>
                  </w14:solidFill>
                </w14:textFill>
              </w:rPr>
              <w:t>测试项目</w:t>
            </w:r>
          </w:p>
        </w:tc>
        <w:tc>
          <w:tcPr>
            <w:tcW w:w="5704" w:type="dxa"/>
            <w:tcBorders>
              <w:top w:val="single" w:color="auto" w:sz="4" w:space="0"/>
              <w:left w:val="single" w:color="auto" w:sz="4" w:space="0"/>
              <w:bottom w:val="single" w:color="auto" w:sz="4" w:space="0"/>
              <w:right w:val="single" w:color="auto" w:sz="4" w:space="0"/>
            </w:tcBorders>
            <w:noWrap w:val="0"/>
            <w:vAlign w:val="center"/>
          </w:tcPr>
          <w:p w14:paraId="71F150F9">
            <w:pPr>
              <w:pStyle w:val="9"/>
              <w:keepNext w:val="0"/>
              <w:keepLines w:val="0"/>
              <w:widowControl/>
              <w:suppressLineNumbers w:val="0"/>
              <w:adjustRightInd w:val="0"/>
              <w:ind w:left="0" w:firstLine="0" w:firstLineChars="0"/>
              <w:rPr>
                <w:color w:val="000000" w:themeColor="text1"/>
                <w:highlight w:val="none"/>
                <w:lang w:val="en-US"/>
                <w14:textFill>
                  <w14:solidFill>
                    <w14:schemeClr w14:val="tx1"/>
                  </w14:solidFill>
                </w14:textFill>
              </w:rPr>
            </w:pPr>
            <w:r>
              <w:rPr>
                <w:rFonts w:hint="eastAsia" w:ascii="Times New Roman" w:hAnsi="Times New Roman" w:eastAsia="宋体" w:cs="宋体"/>
                <w:color w:val="000000" w:themeColor="text1"/>
                <w:highlight w:val="none"/>
                <w14:textFill>
                  <w14:solidFill>
                    <w14:schemeClr w14:val="tx1"/>
                  </w14:solidFill>
                </w14:textFill>
              </w:rPr>
              <w:t>主要参数</w:t>
            </w:r>
          </w:p>
        </w:tc>
      </w:tr>
      <w:tr w14:paraId="31E8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02" w:type="dxa"/>
            <w:tcBorders>
              <w:top w:val="single" w:color="auto" w:sz="4" w:space="0"/>
              <w:left w:val="single" w:color="auto" w:sz="4" w:space="0"/>
              <w:bottom w:val="single" w:color="auto" w:sz="4" w:space="0"/>
              <w:right w:val="single" w:color="auto" w:sz="4" w:space="0"/>
            </w:tcBorders>
            <w:noWrap w:val="0"/>
            <w:vAlign w:val="center"/>
          </w:tcPr>
          <w:p w14:paraId="0F2AD8EE">
            <w:pPr>
              <w:pStyle w:val="9"/>
              <w:keepNext w:val="0"/>
              <w:keepLines w:val="0"/>
              <w:widowControl/>
              <w:suppressLineNumbers w:val="0"/>
              <w:adjustRightInd w:val="0"/>
              <w:ind w:left="0" w:firstLine="0" w:firstLineChars="0"/>
              <w:rPr>
                <w:color w:val="000000" w:themeColor="text1"/>
                <w:highlight w:val="none"/>
                <w:lang w:val="en-US"/>
                <w14:textFill>
                  <w14:solidFill>
                    <w14:schemeClr w14:val="tx1"/>
                  </w14:solidFill>
                </w14:textFill>
              </w:rPr>
            </w:pPr>
            <w:r>
              <w:rPr>
                <w:color w:val="000000" w:themeColor="text1"/>
                <w:highlight w:val="none"/>
                <w:lang w:val="en-US"/>
                <w14:textFill>
                  <w14:solidFill>
                    <w14:schemeClr w14:val="tx1"/>
                  </w14:solidFill>
                </w14:textFill>
              </w:rPr>
              <w:t>1</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6D8721DF">
            <w:pPr>
              <w:pStyle w:val="9"/>
              <w:keepNext w:val="0"/>
              <w:keepLines w:val="0"/>
              <w:widowControl/>
              <w:suppressLineNumbers w:val="0"/>
              <w:adjustRightInd w:val="0"/>
              <w:ind w:left="0" w:firstLine="0" w:firstLineChars="0"/>
              <w:rPr>
                <w:color w:val="000000" w:themeColor="text1"/>
                <w:highlight w:val="none"/>
                <w:lang w:val="en-US"/>
                <w14:textFill>
                  <w14:solidFill>
                    <w14:schemeClr w14:val="tx1"/>
                  </w14:solidFill>
                </w14:textFill>
              </w:rPr>
            </w:pPr>
            <w:r>
              <w:rPr>
                <w:rFonts w:hint="eastAsia" w:ascii="Times New Roman" w:hAnsi="Times New Roman" w:eastAsia="宋体" w:cs="宋体"/>
                <w:color w:val="000000" w:themeColor="text1"/>
                <w:highlight w:val="none"/>
                <w14:textFill>
                  <w14:solidFill>
                    <w14:schemeClr w14:val="tx1"/>
                  </w14:solidFill>
                </w14:textFill>
              </w:rPr>
              <w:t>绝缘耐压测试</w:t>
            </w:r>
          </w:p>
        </w:tc>
        <w:tc>
          <w:tcPr>
            <w:tcW w:w="5704" w:type="dxa"/>
            <w:tcBorders>
              <w:top w:val="single" w:color="auto" w:sz="4" w:space="0"/>
              <w:left w:val="single" w:color="auto" w:sz="4" w:space="0"/>
              <w:bottom w:val="single" w:color="auto" w:sz="4" w:space="0"/>
              <w:right w:val="single" w:color="auto" w:sz="4" w:space="0"/>
            </w:tcBorders>
            <w:noWrap w:val="0"/>
            <w:vAlign w:val="center"/>
          </w:tcPr>
          <w:p w14:paraId="6F2AF1D2">
            <w:pPr>
              <w:pStyle w:val="9"/>
              <w:keepNext w:val="0"/>
              <w:keepLines w:val="0"/>
              <w:widowControl/>
              <w:suppressLineNumbers w:val="0"/>
              <w:adjustRightInd w:val="0"/>
              <w:ind w:left="0" w:firstLine="0" w:firstLineChars="0"/>
              <w:jc w:val="left"/>
              <w:rPr>
                <w:color w:val="000000" w:themeColor="text1"/>
                <w:highlight w:val="none"/>
                <w:lang w:val="en-US"/>
                <w14:textFill>
                  <w14:solidFill>
                    <w14:schemeClr w14:val="tx1"/>
                  </w14:solidFill>
                </w14:textFill>
              </w:rPr>
            </w:pPr>
            <w:r>
              <w:rPr>
                <w:rFonts w:hint="eastAsia" w:ascii="Times New Roman" w:hAnsi="Times New Roman" w:eastAsia="宋体" w:cs="宋体"/>
                <w:color w:val="000000" w:themeColor="text1"/>
                <w:highlight w:val="none"/>
                <w14:textFill>
                  <w14:solidFill>
                    <w14:schemeClr w14:val="tx1"/>
                  </w14:solidFill>
                </w14:textFill>
              </w:rPr>
              <w:t>测试环境：常温常压</w:t>
            </w:r>
          </w:p>
          <w:p w14:paraId="3B802D74">
            <w:pPr>
              <w:pStyle w:val="9"/>
              <w:keepNext w:val="0"/>
              <w:keepLines w:val="0"/>
              <w:widowControl/>
              <w:suppressLineNumbers w:val="0"/>
              <w:adjustRightInd w:val="0"/>
              <w:ind w:left="0" w:firstLine="0" w:firstLineChars="0"/>
              <w:jc w:val="left"/>
              <w:rPr>
                <w:color w:val="000000" w:themeColor="text1"/>
                <w:highlight w:val="none"/>
                <w:lang w:val="en-US"/>
                <w14:textFill>
                  <w14:solidFill>
                    <w14:schemeClr w14:val="tx1"/>
                  </w14:solidFill>
                </w14:textFill>
              </w:rPr>
            </w:pPr>
            <w:r>
              <w:rPr>
                <w:rFonts w:hint="eastAsia" w:ascii="Times New Roman" w:hAnsi="Times New Roman" w:eastAsia="宋体" w:cs="宋体"/>
                <w:color w:val="000000" w:themeColor="text1"/>
                <w:highlight w:val="none"/>
                <w14:textFill>
                  <w14:solidFill>
                    <w14:schemeClr w14:val="tx1"/>
                  </w14:solidFill>
                </w14:textFill>
              </w:rPr>
              <w:t>测试介质：空气</w:t>
            </w:r>
          </w:p>
          <w:p w14:paraId="64FE1CCA">
            <w:pPr>
              <w:pStyle w:val="9"/>
              <w:keepNext w:val="0"/>
              <w:keepLines w:val="0"/>
              <w:widowControl/>
              <w:suppressLineNumbers w:val="0"/>
              <w:adjustRightInd w:val="0"/>
              <w:ind w:left="0" w:firstLine="0" w:firstLineChars="0"/>
              <w:jc w:val="left"/>
              <w:rPr>
                <w:color w:val="000000" w:themeColor="text1"/>
                <w:highlight w:val="none"/>
                <w:lang w:val="en-US"/>
                <w14:textFill>
                  <w14:solidFill>
                    <w14:schemeClr w14:val="tx1"/>
                  </w14:solidFill>
                </w14:textFill>
              </w:rPr>
            </w:pPr>
            <w:r>
              <w:rPr>
                <w:rFonts w:hint="eastAsia" w:ascii="Times New Roman" w:hAnsi="Times New Roman" w:eastAsia="宋体" w:cs="宋体"/>
                <w:color w:val="000000" w:themeColor="text1"/>
                <w:highlight w:val="none"/>
                <w14:textFill>
                  <w14:solidFill>
                    <w14:schemeClr w14:val="tx1"/>
                  </w14:solidFill>
                </w14:textFill>
              </w:rPr>
              <w:t>测试电压：</w:t>
            </w:r>
            <w:r>
              <w:rPr>
                <w:color w:val="000000" w:themeColor="text1"/>
                <w:highlight w:val="none"/>
                <w:lang w:val="en-US"/>
                <w14:textFill>
                  <w14:solidFill>
                    <w14:schemeClr w14:val="tx1"/>
                  </w14:solidFill>
                </w14:textFill>
              </w:rPr>
              <w:t>2kV@5min@CC</w:t>
            </w:r>
            <w:r>
              <w:rPr>
                <w:rFonts w:hint="eastAsia" w:ascii="Times New Roman" w:hAnsi="Times New Roman" w:eastAsia="宋体" w:cs="宋体"/>
                <w:color w:val="000000" w:themeColor="text1"/>
                <w:highlight w:val="none"/>
                <w14:textFill>
                  <w14:solidFill>
                    <w14:schemeClr w14:val="tx1"/>
                  </w14:solidFill>
                </w14:textFill>
              </w:rPr>
              <w:t>线圈</w:t>
            </w:r>
          </w:p>
          <w:p w14:paraId="54B5D55A">
            <w:pPr>
              <w:pStyle w:val="9"/>
              <w:keepNext w:val="0"/>
              <w:keepLines w:val="0"/>
              <w:widowControl/>
              <w:suppressLineNumbers w:val="0"/>
              <w:adjustRightInd w:val="0"/>
              <w:ind w:left="0" w:firstLine="0" w:firstLineChars="0"/>
              <w:jc w:val="left"/>
              <w:rPr>
                <w:color w:val="000000" w:themeColor="text1"/>
                <w:highlight w:val="none"/>
                <w:lang w:val="en-US"/>
                <w14:textFill>
                  <w14:solidFill>
                    <w14:schemeClr w14:val="tx1"/>
                  </w14:solidFill>
                </w14:textFill>
              </w:rPr>
            </w:pPr>
            <w:r>
              <w:rPr>
                <w:rFonts w:hint="eastAsia" w:ascii="Times New Roman" w:hAnsi="Times New Roman" w:eastAsia="宋体" w:cs="宋体"/>
                <w:color w:val="000000" w:themeColor="text1"/>
                <w:highlight w:val="none"/>
                <w14:textFill>
                  <w14:solidFill>
                    <w14:schemeClr w14:val="tx1"/>
                  </w14:solidFill>
                </w14:textFill>
              </w:rPr>
              <w:t>接收标准：磁体无绝缘损坏，绝缘电阻大于</w:t>
            </w:r>
            <w:r>
              <w:rPr>
                <w:color w:val="000000" w:themeColor="text1"/>
                <w:highlight w:val="none"/>
                <w:lang w:val="en-US"/>
                <w14:textFill>
                  <w14:solidFill>
                    <w14:schemeClr w14:val="tx1"/>
                  </w14:solidFill>
                </w14:textFill>
              </w:rPr>
              <w:t>500MΩ</w:t>
            </w:r>
          </w:p>
        </w:tc>
      </w:tr>
      <w:tr w14:paraId="7717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02" w:type="dxa"/>
            <w:tcBorders>
              <w:top w:val="single" w:color="auto" w:sz="4" w:space="0"/>
              <w:left w:val="single" w:color="auto" w:sz="4" w:space="0"/>
              <w:bottom w:val="single" w:color="auto" w:sz="4" w:space="0"/>
              <w:right w:val="single" w:color="auto" w:sz="4" w:space="0"/>
            </w:tcBorders>
            <w:noWrap w:val="0"/>
            <w:vAlign w:val="center"/>
          </w:tcPr>
          <w:p w14:paraId="43B5E994">
            <w:pPr>
              <w:pStyle w:val="9"/>
              <w:keepNext w:val="0"/>
              <w:keepLines w:val="0"/>
              <w:widowControl/>
              <w:suppressLineNumbers w:val="0"/>
              <w:adjustRightInd w:val="0"/>
              <w:ind w:left="0" w:firstLine="0" w:firstLineChars="0"/>
              <w:rPr>
                <w:color w:val="000000" w:themeColor="text1"/>
                <w:highlight w:val="none"/>
                <w:lang w:val="en-US"/>
                <w14:textFill>
                  <w14:solidFill>
                    <w14:schemeClr w14:val="tx1"/>
                  </w14:solidFill>
                </w14:textFill>
              </w:rPr>
            </w:pPr>
            <w:r>
              <w:rPr>
                <w:color w:val="000000" w:themeColor="text1"/>
                <w:highlight w:val="none"/>
                <w:lang w:val="en-US"/>
                <w14:textFill>
                  <w14:solidFill>
                    <w14:schemeClr w14:val="tx1"/>
                  </w14:solidFill>
                </w14:textFill>
              </w:rPr>
              <w:t>2</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6307072C">
            <w:pPr>
              <w:pStyle w:val="9"/>
              <w:keepNext w:val="0"/>
              <w:keepLines w:val="0"/>
              <w:widowControl/>
              <w:suppressLineNumbers w:val="0"/>
              <w:adjustRightInd w:val="0"/>
              <w:ind w:left="0" w:firstLine="0" w:firstLineChars="0"/>
              <w:rPr>
                <w:color w:val="000000" w:themeColor="text1"/>
                <w:highlight w:val="none"/>
                <w:lang w:val="en-US"/>
                <w14:textFill>
                  <w14:solidFill>
                    <w14:schemeClr w14:val="tx1"/>
                  </w14:solidFill>
                </w14:textFill>
              </w:rPr>
            </w:pPr>
            <w:r>
              <w:rPr>
                <w:rFonts w:hint="eastAsia" w:ascii="Times New Roman" w:hAnsi="Times New Roman" w:eastAsia="宋体" w:cs="宋体"/>
                <w:color w:val="000000" w:themeColor="text1"/>
                <w:highlight w:val="none"/>
                <w14:textFill>
                  <w14:solidFill>
                    <w14:schemeClr w14:val="tx1"/>
                  </w14:solidFill>
                </w14:textFill>
              </w:rPr>
              <w:t>帕森放电测试</w:t>
            </w:r>
          </w:p>
        </w:tc>
        <w:tc>
          <w:tcPr>
            <w:tcW w:w="5704" w:type="dxa"/>
            <w:tcBorders>
              <w:top w:val="single" w:color="auto" w:sz="4" w:space="0"/>
              <w:left w:val="single" w:color="auto" w:sz="4" w:space="0"/>
              <w:bottom w:val="single" w:color="auto" w:sz="4" w:space="0"/>
              <w:right w:val="single" w:color="auto" w:sz="4" w:space="0"/>
            </w:tcBorders>
            <w:noWrap w:val="0"/>
            <w:vAlign w:val="center"/>
          </w:tcPr>
          <w:p w14:paraId="3AC65014">
            <w:pPr>
              <w:pStyle w:val="9"/>
              <w:keepNext w:val="0"/>
              <w:keepLines w:val="0"/>
              <w:widowControl/>
              <w:suppressLineNumbers w:val="0"/>
              <w:adjustRightInd w:val="0"/>
              <w:ind w:left="0" w:firstLine="0" w:firstLineChars="0"/>
              <w:jc w:val="left"/>
              <w:rPr>
                <w:color w:val="000000" w:themeColor="text1"/>
                <w:highlight w:val="none"/>
                <w:lang w:val="en-US"/>
                <w14:textFill>
                  <w14:solidFill>
                    <w14:schemeClr w14:val="tx1"/>
                  </w14:solidFill>
                </w14:textFill>
              </w:rPr>
            </w:pPr>
            <w:r>
              <w:rPr>
                <w:rFonts w:hint="eastAsia" w:ascii="Times New Roman" w:hAnsi="Times New Roman" w:eastAsia="宋体" w:cs="宋体"/>
                <w:color w:val="000000" w:themeColor="text1"/>
                <w:highlight w:val="none"/>
                <w14:textFill>
                  <w14:solidFill>
                    <w14:schemeClr w14:val="tx1"/>
                  </w14:solidFill>
                </w14:textFill>
              </w:rPr>
              <w:t>测试环境：常温真空</w:t>
            </w:r>
            <w:r>
              <w:rPr>
                <w:color w:val="000000" w:themeColor="text1"/>
                <w:highlight w:val="none"/>
                <w:lang w:val="en-US"/>
                <w14:textFill>
                  <w14:solidFill>
                    <w14:schemeClr w14:val="tx1"/>
                  </w14:solidFill>
                </w14:textFill>
              </w:rPr>
              <w:t>,</w:t>
            </w:r>
            <w:r>
              <w:rPr>
                <w:rFonts w:eastAsia="Times New Roman"/>
                <w:color w:val="000000" w:themeColor="text1"/>
                <w:spacing w:val="-7"/>
                <w:sz w:val="24"/>
                <w:szCs w:val="24"/>
                <w:highlight w:val="none"/>
                <w:lang w:val="en-US"/>
                <w14:textFill>
                  <w14:solidFill>
                    <w14:schemeClr w14:val="tx1"/>
                  </w14:solidFill>
                </w14:textFill>
              </w:rPr>
              <w:t>1,</w:t>
            </w:r>
            <w:r>
              <w:rPr>
                <w:rFonts w:eastAsia="Times New Roman"/>
                <w:color w:val="000000" w:themeColor="text1"/>
                <w:spacing w:val="-22"/>
                <w:sz w:val="24"/>
                <w:szCs w:val="24"/>
                <w:highlight w:val="none"/>
                <w:lang w:val="en-US"/>
                <w14:textFill>
                  <w14:solidFill>
                    <w14:schemeClr w14:val="tx1"/>
                  </w14:solidFill>
                </w14:textFill>
              </w:rPr>
              <w:t xml:space="preserve"> </w:t>
            </w:r>
            <w:r>
              <w:rPr>
                <w:rFonts w:eastAsia="Times New Roman"/>
                <w:color w:val="000000" w:themeColor="text1"/>
                <w:spacing w:val="-7"/>
                <w:sz w:val="24"/>
                <w:szCs w:val="24"/>
                <w:highlight w:val="none"/>
                <w:lang w:val="en-US"/>
                <w14:textFill>
                  <w14:solidFill>
                    <w14:schemeClr w14:val="tx1"/>
                  </w14:solidFill>
                </w14:textFill>
              </w:rPr>
              <w:t>10,</w:t>
            </w:r>
            <w:r>
              <w:rPr>
                <w:rFonts w:eastAsia="Times New Roman"/>
                <w:color w:val="000000" w:themeColor="text1"/>
                <w:spacing w:val="-32"/>
                <w:sz w:val="24"/>
                <w:szCs w:val="24"/>
                <w:highlight w:val="none"/>
                <w:lang w:val="en-US"/>
                <w14:textFill>
                  <w14:solidFill>
                    <w14:schemeClr w14:val="tx1"/>
                  </w14:solidFill>
                </w14:textFill>
              </w:rPr>
              <w:t xml:space="preserve"> </w:t>
            </w:r>
            <w:r>
              <w:rPr>
                <w:rFonts w:eastAsia="Times New Roman"/>
                <w:color w:val="000000" w:themeColor="text1"/>
                <w:spacing w:val="-7"/>
                <w:sz w:val="24"/>
                <w:szCs w:val="24"/>
                <w:highlight w:val="none"/>
                <w:lang w:val="en-US"/>
                <w14:textFill>
                  <w14:solidFill>
                    <w14:schemeClr w14:val="tx1"/>
                  </w14:solidFill>
                </w14:textFill>
              </w:rPr>
              <w:t>100,</w:t>
            </w:r>
            <w:r>
              <w:rPr>
                <w:rFonts w:eastAsia="Times New Roman"/>
                <w:color w:val="000000" w:themeColor="text1"/>
                <w:spacing w:val="-32"/>
                <w:sz w:val="24"/>
                <w:szCs w:val="24"/>
                <w:highlight w:val="none"/>
                <w:lang w:val="en-US"/>
                <w14:textFill>
                  <w14:solidFill>
                    <w14:schemeClr w14:val="tx1"/>
                  </w14:solidFill>
                </w14:textFill>
              </w:rPr>
              <w:t xml:space="preserve"> </w:t>
            </w:r>
            <w:r>
              <w:rPr>
                <w:rFonts w:eastAsia="Times New Roman"/>
                <w:color w:val="000000" w:themeColor="text1"/>
                <w:spacing w:val="-7"/>
                <w:sz w:val="24"/>
                <w:szCs w:val="24"/>
                <w:highlight w:val="none"/>
                <w:lang w:val="en-US"/>
                <w14:textFill>
                  <w14:solidFill>
                    <w14:schemeClr w14:val="tx1"/>
                  </w14:solidFill>
                </w14:textFill>
              </w:rPr>
              <w:t>1000,</w:t>
            </w:r>
            <w:r>
              <w:rPr>
                <w:rFonts w:eastAsia="Times New Roman"/>
                <w:color w:val="000000" w:themeColor="text1"/>
                <w:spacing w:val="-32"/>
                <w:sz w:val="24"/>
                <w:szCs w:val="24"/>
                <w:highlight w:val="none"/>
                <w:lang w:val="en-US"/>
                <w14:textFill>
                  <w14:solidFill>
                    <w14:schemeClr w14:val="tx1"/>
                  </w14:solidFill>
                </w14:textFill>
              </w:rPr>
              <w:t xml:space="preserve"> </w:t>
            </w:r>
            <w:r>
              <w:rPr>
                <w:rFonts w:eastAsia="Times New Roman"/>
                <w:color w:val="000000" w:themeColor="text1"/>
                <w:spacing w:val="-7"/>
                <w:sz w:val="24"/>
                <w:szCs w:val="24"/>
                <w:highlight w:val="none"/>
                <w:lang w:val="en-US"/>
                <w14:textFill>
                  <w14:solidFill>
                    <w14:schemeClr w14:val="tx1"/>
                  </w14:solidFill>
                </w14:textFill>
              </w:rPr>
              <w:t>10000Pa,</w:t>
            </w:r>
          </w:p>
          <w:p w14:paraId="137A5B17">
            <w:pPr>
              <w:pStyle w:val="9"/>
              <w:keepNext w:val="0"/>
              <w:keepLines w:val="0"/>
              <w:widowControl/>
              <w:suppressLineNumbers w:val="0"/>
              <w:adjustRightInd w:val="0"/>
              <w:ind w:left="0" w:firstLine="0" w:firstLineChars="0"/>
              <w:jc w:val="left"/>
              <w:rPr>
                <w:color w:val="000000" w:themeColor="text1"/>
                <w:highlight w:val="none"/>
                <w:lang w:val="en-US"/>
                <w14:textFill>
                  <w14:solidFill>
                    <w14:schemeClr w14:val="tx1"/>
                  </w14:solidFill>
                </w14:textFill>
              </w:rPr>
            </w:pPr>
            <w:r>
              <w:rPr>
                <w:rFonts w:hint="eastAsia" w:ascii="Times New Roman" w:hAnsi="Times New Roman" w:eastAsia="宋体" w:cs="宋体"/>
                <w:color w:val="000000" w:themeColor="text1"/>
                <w:highlight w:val="none"/>
                <w14:textFill>
                  <w14:solidFill>
                    <w14:schemeClr w14:val="tx1"/>
                  </w14:solidFill>
                </w14:textFill>
              </w:rPr>
              <w:t>测试介质：空气</w:t>
            </w:r>
          </w:p>
          <w:p w14:paraId="4E64E72E">
            <w:pPr>
              <w:pStyle w:val="9"/>
              <w:keepNext w:val="0"/>
              <w:keepLines w:val="0"/>
              <w:widowControl/>
              <w:suppressLineNumbers w:val="0"/>
              <w:adjustRightInd w:val="0"/>
              <w:ind w:left="0" w:firstLine="0" w:firstLineChars="0"/>
              <w:jc w:val="left"/>
              <w:rPr>
                <w:color w:val="000000" w:themeColor="text1"/>
                <w:highlight w:val="none"/>
                <w:lang w:val="en-US"/>
                <w14:textFill>
                  <w14:solidFill>
                    <w14:schemeClr w14:val="tx1"/>
                  </w14:solidFill>
                </w14:textFill>
              </w:rPr>
            </w:pPr>
            <w:r>
              <w:rPr>
                <w:rFonts w:hint="eastAsia" w:ascii="Times New Roman" w:hAnsi="Times New Roman" w:eastAsia="宋体" w:cs="宋体"/>
                <w:color w:val="000000" w:themeColor="text1"/>
                <w:highlight w:val="none"/>
                <w14:textFill>
                  <w14:solidFill>
                    <w14:schemeClr w14:val="tx1"/>
                  </w14:solidFill>
                </w14:textFill>
              </w:rPr>
              <w:t>测试电压：</w:t>
            </w:r>
            <w:r>
              <w:rPr>
                <w:color w:val="000000" w:themeColor="text1"/>
                <w:highlight w:val="none"/>
                <w:lang w:val="en-US"/>
                <w14:textFill>
                  <w14:solidFill>
                    <w14:schemeClr w14:val="tx1"/>
                  </w14:solidFill>
                </w14:textFill>
              </w:rPr>
              <w:t>1.5kV@1min</w:t>
            </w:r>
          </w:p>
          <w:p w14:paraId="2053A7E9">
            <w:pPr>
              <w:pStyle w:val="9"/>
              <w:keepNext w:val="0"/>
              <w:keepLines w:val="0"/>
              <w:widowControl/>
              <w:suppressLineNumbers w:val="0"/>
              <w:adjustRightInd w:val="0"/>
              <w:ind w:left="0" w:firstLine="0" w:firstLineChars="0"/>
              <w:jc w:val="left"/>
              <w:rPr>
                <w:color w:val="000000" w:themeColor="text1"/>
                <w:highlight w:val="none"/>
                <w:lang w:val="en-US"/>
                <w14:textFill>
                  <w14:solidFill>
                    <w14:schemeClr w14:val="tx1"/>
                  </w14:solidFill>
                </w14:textFill>
              </w:rPr>
            </w:pPr>
            <w:r>
              <w:rPr>
                <w:rFonts w:hint="eastAsia" w:ascii="Times New Roman" w:hAnsi="Times New Roman" w:eastAsia="宋体" w:cs="宋体"/>
                <w:color w:val="000000" w:themeColor="text1"/>
                <w:highlight w:val="none"/>
                <w14:textFill>
                  <w14:solidFill>
                    <w14:schemeClr w14:val="tx1"/>
                  </w14:solidFill>
                </w14:textFill>
              </w:rPr>
              <w:t>接收标准：磁体无绝缘损坏，漏电流小于</w:t>
            </w:r>
            <w:r>
              <w:rPr>
                <w:color w:val="000000" w:themeColor="text1"/>
                <w:highlight w:val="none"/>
                <w:lang w:val="en-US"/>
                <w14:textFill>
                  <w14:solidFill>
                    <w14:schemeClr w14:val="tx1"/>
                  </w14:solidFill>
                </w14:textFill>
              </w:rPr>
              <w:t>20μA</w:t>
            </w:r>
          </w:p>
        </w:tc>
      </w:tr>
      <w:tr w14:paraId="25A8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02" w:type="dxa"/>
            <w:tcBorders>
              <w:top w:val="single" w:color="auto" w:sz="4" w:space="0"/>
              <w:left w:val="single" w:color="auto" w:sz="4" w:space="0"/>
              <w:bottom w:val="single" w:color="auto" w:sz="4" w:space="0"/>
              <w:right w:val="single" w:color="auto" w:sz="4" w:space="0"/>
            </w:tcBorders>
            <w:noWrap w:val="0"/>
            <w:vAlign w:val="center"/>
          </w:tcPr>
          <w:p w14:paraId="50EA6586">
            <w:pPr>
              <w:pStyle w:val="9"/>
              <w:keepNext w:val="0"/>
              <w:keepLines w:val="0"/>
              <w:widowControl/>
              <w:suppressLineNumbers w:val="0"/>
              <w:adjustRightInd w:val="0"/>
              <w:ind w:left="0" w:firstLine="0" w:firstLineChars="0"/>
              <w:rPr>
                <w:color w:val="000000" w:themeColor="text1"/>
                <w:highlight w:val="none"/>
                <w:lang w:val="en-US"/>
                <w14:textFill>
                  <w14:solidFill>
                    <w14:schemeClr w14:val="tx1"/>
                  </w14:solidFill>
                </w14:textFill>
              </w:rPr>
            </w:pPr>
            <w:r>
              <w:rPr>
                <w:color w:val="000000" w:themeColor="text1"/>
                <w:highlight w:val="none"/>
                <w:lang w:val="en-US"/>
                <w14:textFill>
                  <w14:solidFill>
                    <w14:schemeClr w14:val="tx1"/>
                  </w14:solidFill>
                </w14:textFill>
              </w:rPr>
              <w:t>3</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1FA70DF0">
            <w:pPr>
              <w:pStyle w:val="9"/>
              <w:keepNext w:val="0"/>
              <w:keepLines w:val="0"/>
              <w:widowControl/>
              <w:suppressLineNumbers w:val="0"/>
              <w:adjustRightInd w:val="0"/>
              <w:ind w:left="0" w:firstLine="0" w:firstLineChars="0"/>
              <w:rPr>
                <w:color w:val="000000" w:themeColor="text1"/>
                <w:highlight w:val="none"/>
                <w:lang w:val="en-US"/>
                <w14:textFill>
                  <w14:solidFill>
                    <w14:schemeClr w14:val="tx1"/>
                  </w14:solidFill>
                </w14:textFill>
              </w:rPr>
            </w:pPr>
            <w:r>
              <w:rPr>
                <w:rFonts w:hint="eastAsia" w:ascii="Times New Roman" w:hAnsi="Times New Roman" w:eastAsia="宋体" w:cs="宋体"/>
                <w:color w:val="000000" w:themeColor="text1"/>
                <w:highlight w:val="none"/>
                <w14:textFill>
                  <w14:solidFill>
                    <w14:schemeClr w14:val="tx1"/>
                  </w14:solidFill>
                </w14:textFill>
              </w:rPr>
              <w:t>氦气密性测试</w:t>
            </w:r>
          </w:p>
        </w:tc>
        <w:tc>
          <w:tcPr>
            <w:tcW w:w="5704" w:type="dxa"/>
            <w:tcBorders>
              <w:top w:val="single" w:color="auto" w:sz="4" w:space="0"/>
              <w:left w:val="single" w:color="auto" w:sz="4" w:space="0"/>
              <w:bottom w:val="single" w:color="auto" w:sz="4" w:space="0"/>
              <w:right w:val="single" w:color="auto" w:sz="4" w:space="0"/>
            </w:tcBorders>
            <w:noWrap w:val="0"/>
            <w:vAlign w:val="center"/>
          </w:tcPr>
          <w:p w14:paraId="21A8A97C">
            <w:pPr>
              <w:pStyle w:val="9"/>
              <w:keepNext w:val="0"/>
              <w:keepLines w:val="0"/>
              <w:widowControl/>
              <w:suppressLineNumbers w:val="0"/>
              <w:adjustRightInd w:val="0"/>
              <w:ind w:left="0" w:firstLine="0" w:firstLineChars="0"/>
              <w:jc w:val="left"/>
              <w:rPr>
                <w:color w:val="000000" w:themeColor="text1"/>
                <w:highlight w:val="none"/>
                <w:lang w:val="en-US"/>
                <w14:textFill>
                  <w14:solidFill>
                    <w14:schemeClr w14:val="tx1"/>
                  </w14:solidFill>
                </w14:textFill>
              </w:rPr>
            </w:pPr>
            <w:r>
              <w:rPr>
                <w:rFonts w:hint="eastAsia" w:ascii="Times New Roman" w:hAnsi="Times New Roman" w:eastAsia="宋体" w:cs="宋体"/>
                <w:color w:val="000000" w:themeColor="text1"/>
                <w:highlight w:val="none"/>
                <w14:textFill>
                  <w14:solidFill>
                    <w14:schemeClr w14:val="tx1"/>
                  </w14:solidFill>
                </w14:textFill>
              </w:rPr>
              <w:t>室温：真空正压法，磁体氦漏率小于</w:t>
            </w:r>
            <w:r>
              <w:rPr>
                <w:color w:val="000000" w:themeColor="text1"/>
                <w:highlight w:val="none"/>
                <w:lang w:val="en-US"/>
                <w14:textFill>
                  <w14:solidFill>
                    <w14:schemeClr w14:val="tx1"/>
                  </w14:solidFill>
                </w14:textFill>
              </w:rPr>
              <w:t>1</w:t>
            </w:r>
            <w:r>
              <w:rPr>
                <w:rFonts w:hint="eastAsia" w:ascii="Times New Roman" w:hAnsi="Times New Roman" w:eastAsia="宋体" w:cs="宋体"/>
                <w:color w:val="000000" w:themeColor="text1"/>
                <w:highlight w:val="none"/>
                <w14:textFill>
                  <w14:solidFill>
                    <w14:schemeClr w14:val="tx1"/>
                  </w14:solidFill>
                </w14:textFill>
              </w:rPr>
              <w:t>×</w:t>
            </w:r>
            <w:r>
              <w:rPr>
                <w:color w:val="000000" w:themeColor="text1"/>
                <w:highlight w:val="none"/>
                <w:lang w:val="en-US"/>
                <w14:textFill>
                  <w14:solidFill>
                    <w14:schemeClr w14:val="tx1"/>
                  </w14:solidFill>
                </w14:textFill>
              </w:rPr>
              <w:t>10</w:t>
            </w:r>
            <w:r>
              <w:rPr>
                <w:color w:val="000000" w:themeColor="text1"/>
                <w:highlight w:val="none"/>
                <w:vertAlign w:val="superscript"/>
                <w:lang w:val="en-US"/>
                <w14:textFill>
                  <w14:solidFill>
                    <w14:schemeClr w14:val="tx1"/>
                  </w14:solidFill>
                </w14:textFill>
              </w:rPr>
              <w:t>-7</w:t>
            </w:r>
            <w:r>
              <w:rPr>
                <w:color w:val="000000" w:themeColor="text1"/>
                <w:highlight w:val="none"/>
                <w:lang w:val="en-US"/>
                <w14:textFill>
                  <w14:solidFill>
                    <w14:schemeClr w14:val="tx1"/>
                  </w14:solidFill>
                </w14:textFill>
              </w:rPr>
              <w:t>Pa.m</w:t>
            </w:r>
            <w:r>
              <w:rPr>
                <w:color w:val="000000" w:themeColor="text1"/>
                <w:highlight w:val="none"/>
                <w:vertAlign w:val="superscript"/>
                <w:lang w:val="en-US"/>
                <w14:textFill>
                  <w14:solidFill>
                    <w14:schemeClr w14:val="tx1"/>
                  </w14:solidFill>
                </w14:textFill>
              </w:rPr>
              <w:t>3</w:t>
            </w:r>
            <w:r>
              <w:rPr>
                <w:color w:val="000000" w:themeColor="text1"/>
                <w:highlight w:val="none"/>
                <w:lang w:val="en-US"/>
                <w14:textFill>
                  <w14:solidFill>
                    <w14:schemeClr w14:val="tx1"/>
                  </w14:solidFill>
                </w14:textFill>
              </w:rPr>
              <w:t>/s@</w:t>
            </w:r>
            <w:r>
              <w:rPr>
                <w:rFonts w:hint="eastAsia" w:ascii="Times New Roman" w:hAnsi="Times New Roman" w:eastAsia="宋体" w:cs="宋体"/>
                <w:color w:val="000000" w:themeColor="text1"/>
                <w:highlight w:val="none"/>
                <w14:textFill>
                  <w14:solidFill>
                    <w14:schemeClr w14:val="tx1"/>
                  </w14:solidFill>
                </w14:textFill>
              </w:rPr>
              <w:t>不小于</w:t>
            </w:r>
            <w:r>
              <w:rPr>
                <w:color w:val="000000" w:themeColor="text1"/>
                <w:highlight w:val="none"/>
                <w:lang w:val="en-US"/>
                <w14:textFill>
                  <w14:solidFill>
                    <w14:schemeClr w14:val="tx1"/>
                  </w14:solidFill>
                </w14:textFill>
              </w:rPr>
              <w:t>2MPa</w:t>
            </w:r>
          </w:p>
        </w:tc>
      </w:tr>
      <w:tr w14:paraId="4DC3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02" w:type="dxa"/>
            <w:tcBorders>
              <w:top w:val="single" w:color="auto" w:sz="4" w:space="0"/>
              <w:left w:val="single" w:color="auto" w:sz="4" w:space="0"/>
              <w:bottom w:val="single" w:color="auto" w:sz="4" w:space="0"/>
              <w:right w:val="single" w:color="auto" w:sz="4" w:space="0"/>
            </w:tcBorders>
            <w:noWrap w:val="0"/>
            <w:vAlign w:val="center"/>
          </w:tcPr>
          <w:p w14:paraId="7A1AD5E9">
            <w:pPr>
              <w:pStyle w:val="9"/>
              <w:keepNext w:val="0"/>
              <w:keepLines w:val="0"/>
              <w:widowControl/>
              <w:suppressLineNumbers w:val="0"/>
              <w:adjustRightInd w:val="0"/>
              <w:ind w:left="0" w:firstLine="0" w:firstLineChars="0"/>
              <w:rPr>
                <w:color w:val="000000" w:themeColor="text1"/>
                <w:highlight w:val="none"/>
                <w:lang w:val="en-US"/>
                <w14:textFill>
                  <w14:solidFill>
                    <w14:schemeClr w14:val="tx1"/>
                  </w14:solidFill>
                </w14:textFill>
              </w:rPr>
            </w:pPr>
            <w:r>
              <w:rPr>
                <w:color w:val="000000" w:themeColor="text1"/>
                <w:highlight w:val="none"/>
                <w:lang w:val="en-US"/>
                <w14:textFill>
                  <w14:solidFill>
                    <w14:schemeClr w14:val="tx1"/>
                  </w14:solidFill>
                </w14:textFill>
              </w:rPr>
              <w:t>4</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7B424DF9">
            <w:pPr>
              <w:pStyle w:val="9"/>
              <w:keepNext w:val="0"/>
              <w:keepLines w:val="0"/>
              <w:widowControl/>
              <w:suppressLineNumbers w:val="0"/>
              <w:adjustRightInd w:val="0"/>
              <w:ind w:left="0" w:firstLine="0" w:firstLineChars="0"/>
              <w:rPr>
                <w:color w:val="000000" w:themeColor="text1"/>
                <w:highlight w:val="none"/>
                <w:lang w:val="en-US"/>
                <w14:textFill>
                  <w14:solidFill>
                    <w14:schemeClr w14:val="tx1"/>
                  </w14:solidFill>
                </w14:textFill>
              </w:rPr>
            </w:pPr>
            <w:r>
              <w:rPr>
                <w:rFonts w:hint="eastAsia" w:ascii="Times New Roman" w:hAnsi="Times New Roman" w:eastAsia="宋体" w:cs="宋体"/>
                <w:color w:val="000000" w:themeColor="text1"/>
                <w:highlight w:val="none"/>
                <w14:textFill>
                  <w14:solidFill>
                    <w14:schemeClr w14:val="tx1"/>
                  </w14:solidFill>
                </w14:textFill>
              </w:rPr>
              <w:t>压降测试</w:t>
            </w:r>
          </w:p>
        </w:tc>
        <w:tc>
          <w:tcPr>
            <w:tcW w:w="5704" w:type="dxa"/>
            <w:tcBorders>
              <w:top w:val="single" w:color="auto" w:sz="4" w:space="0"/>
              <w:left w:val="single" w:color="auto" w:sz="4" w:space="0"/>
              <w:bottom w:val="single" w:color="auto" w:sz="4" w:space="0"/>
              <w:right w:val="single" w:color="auto" w:sz="4" w:space="0"/>
            </w:tcBorders>
            <w:noWrap w:val="0"/>
            <w:vAlign w:val="center"/>
          </w:tcPr>
          <w:p w14:paraId="09BFECDB">
            <w:pPr>
              <w:pStyle w:val="9"/>
              <w:keepNext w:val="0"/>
              <w:keepLines w:val="0"/>
              <w:widowControl/>
              <w:suppressLineNumbers w:val="0"/>
              <w:adjustRightInd w:val="0"/>
              <w:ind w:left="0" w:firstLine="0" w:firstLineChars="0"/>
              <w:jc w:val="left"/>
              <w:rPr>
                <w:color w:val="000000" w:themeColor="text1"/>
                <w:highlight w:val="none"/>
                <w:lang w:val="en-US"/>
                <w14:textFill>
                  <w14:solidFill>
                    <w14:schemeClr w14:val="tx1"/>
                  </w14:solidFill>
                </w14:textFill>
              </w:rPr>
            </w:pPr>
            <w:r>
              <w:rPr>
                <w:rFonts w:hint="eastAsia" w:ascii="Times New Roman" w:hAnsi="Times New Roman" w:eastAsia="宋体" w:cs="宋体"/>
                <w:color w:val="000000" w:themeColor="text1"/>
                <w:highlight w:val="none"/>
                <w14:textFill>
                  <w14:solidFill>
                    <w14:schemeClr w14:val="tx1"/>
                  </w14:solidFill>
                </w14:textFill>
              </w:rPr>
              <w:t>等效压降</w:t>
            </w:r>
            <w:r>
              <w:rPr>
                <w:color w:val="000000" w:themeColor="text1"/>
                <w:highlight w:val="none"/>
                <w:lang w:val="en-US"/>
                <w14:textFill>
                  <w14:solidFill>
                    <w14:schemeClr w14:val="tx1"/>
                  </w14:solidFill>
                </w14:textFill>
              </w:rPr>
              <w:t xml:space="preserve"> 0.2Bar </w:t>
            </w:r>
            <w:r>
              <w:rPr>
                <w:rFonts w:hint="eastAsia" w:ascii="Times New Roman" w:hAnsi="Times New Roman" w:eastAsia="宋体" w:cs="宋体"/>
                <w:color w:val="000000" w:themeColor="text1"/>
                <w:highlight w:val="none"/>
                <w14:textFill>
                  <w14:solidFill>
                    <w14:schemeClr w14:val="tx1"/>
                  </w14:solidFill>
                </w14:textFill>
              </w:rPr>
              <w:t>，偏差不大于±</w:t>
            </w:r>
            <w:r>
              <w:rPr>
                <w:color w:val="000000" w:themeColor="text1"/>
                <w:highlight w:val="none"/>
                <w:lang w:val="en-US"/>
                <w14:textFill>
                  <w14:solidFill>
                    <w14:schemeClr w14:val="tx1"/>
                  </w14:solidFill>
                </w14:textFill>
              </w:rPr>
              <w:t>15%</w:t>
            </w:r>
            <w:r>
              <w:rPr>
                <w:rFonts w:hint="eastAsia" w:ascii="Times New Roman" w:hAnsi="Times New Roman" w:eastAsia="宋体" w:cs="宋体"/>
                <w:color w:val="000000" w:themeColor="text1"/>
                <w:highlight w:val="none"/>
                <w14:textFill>
                  <w14:solidFill>
                    <w14:schemeClr w14:val="tx1"/>
                  </w14:solidFill>
                </w14:textFill>
              </w:rPr>
              <w:t>；</w:t>
            </w:r>
            <w:r>
              <w:rPr>
                <w:color w:val="000000" w:themeColor="text1"/>
                <w:highlight w:val="none"/>
                <w:lang w:val="en-US"/>
                <w14:textFill>
                  <w14:solidFill>
                    <w14:schemeClr w14:val="tx1"/>
                  </w14:solidFill>
                </w14:textFill>
              </w:rPr>
              <w:t xml:space="preserve"> (</w:t>
            </w:r>
            <w:r>
              <w:rPr>
                <w:rFonts w:hint="eastAsia" w:ascii="Times New Roman" w:hAnsi="Times New Roman" w:eastAsia="宋体" w:cs="宋体"/>
                <w:color w:val="000000" w:themeColor="text1"/>
                <w:highlight w:val="none"/>
                <w14:textFill>
                  <w14:solidFill>
                    <w14:schemeClr w14:val="tx1"/>
                  </w14:solidFill>
                </w14:textFill>
              </w:rPr>
              <w:t>通过理论计算，等效为</w:t>
            </w:r>
            <w:r>
              <w:rPr>
                <w:color w:val="000000" w:themeColor="text1"/>
                <w:highlight w:val="none"/>
                <w:lang w:val="en-US"/>
                <w14:textFill>
                  <w14:solidFill>
                    <w14:schemeClr w14:val="tx1"/>
                  </w14:solidFill>
                </w14:textFill>
              </w:rPr>
              <w:t xml:space="preserve"> 5K </w:t>
            </w:r>
            <w:r>
              <w:rPr>
                <w:rFonts w:hint="eastAsia" w:ascii="Times New Roman" w:hAnsi="Times New Roman" w:eastAsia="宋体" w:cs="宋体"/>
                <w:color w:val="000000" w:themeColor="text1"/>
                <w:highlight w:val="none"/>
                <w14:textFill>
                  <w14:solidFill>
                    <w14:schemeClr w14:val="tx1"/>
                  </w14:solidFill>
                </w14:textFill>
              </w:rPr>
              <w:t>工作状态下压降</w:t>
            </w:r>
            <w:r>
              <w:rPr>
                <w:color w:val="000000" w:themeColor="text1"/>
                <w:highlight w:val="none"/>
                <w:lang w:val="en-US"/>
                <w14:textFill>
                  <w14:solidFill>
                    <w14:schemeClr w14:val="tx1"/>
                  </w14:solidFill>
                </w14:textFill>
              </w:rPr>
              <w:t>)</w:t>
            </w:r>
          </w:p>
        </w:tc>
      </w:tr>
    </w:tbl>
    <w:p w14:paraId="4193393A">
      <w:pPr>
        <w:keepNext w:val="0"/>
        <w:keepLines w:val="0"/>
        <w:widowControl w:val="0"/>
        <w:suppressLineNumbers w:val="0"/>
        <w:spacing w:before="0" w:beforeAutospacing="0" w:after="0" w:afterAutospacing="0"/>
        <w:ind w:left="0" w:right="0"/>
        <w:jc w:val="both"/>
        <w:rPr>
          <w:color w:val="000000" w:themeColor="text1"/>
          <w:highlight w:val="none"/>
          <w:lang w:val="en-US"/>
          <w14:textFill>
            <w14:solidFill>
              <w14:schemeClr w14:val="tx1"/>
            </w14:solidFill>
          </w14:textFill>
        </w:rPr>
      </w:pPr>
    </w:p>
    <w:p w14:paraId="44A809B4">
      <w:pPr>
        <w:pStyle w:val="4"/>
        <w:widowControl/>
        <w:adjustRightInd w:val="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2.3.2 </w:t>
      </w:r>
      <w:r>
        <w:rPr>
          <w:rFonts w:hint="default" w:ascii="Times New Roman" w:hAnsi="Times New Roman" w:cs="Times New Roman"/>
          <w:color w:val="000000" w:themeColor="text1"/>
          <w:sz w:val="21"/>
          <w:szCs w:val="21"/>
          <w:highlight w:val="none"/>
          <w:lang w:eastAsia="zh-CN"/>
          <w14:textFill>
            <w14:solidFill>
              <w14:schemeClr w14:val="tx1"/>
            </w14:solidFill>
          </w14:textFill>
        </w:rPr>
        <w:t>主要技术要求</w:t>
      </w:r>
    </w:p>
    <w:p w14:paraId="26034693">
      <w:pPr>
        <w:pStyle w:val="4"/>
        <w:widowControl/>
        <w:adjustRightInd w:val="0"/>
        <w:rPr>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2.3.2.1 </w:t>
      </w:r>
      <w:r>
        <w:rPr>
          <w:rFonts w:hint="default" w:ascii="Times New Roman" w:hAnsi="Times New Roman" w:cs="Times New Roman"/>
          <w:color w:val="000000" w:themeColor="text1"/>
          <w:sz w:val="21"/>
          <w:szCs w:val="21"/>
          <w:highlight w:val="none"/>
          <w:lang w:eastAsia="zh-CN"/>
          <w14:textFill>
            <w14:solidFill>
              <w14:schemeClr w14:val="tx1"/>
            </w14:solidFill>
          </w14:textFill>
        </w:rPr>
        <w:t>通用要</w:t>
      </w:r>
      <w:r>
        <w:rPr>
          <w:color w:val="000000" w:themeColor="text1"/>
          <w:sz w:val="21"/>
          <w:szCs w:val="21"/>
          <w:highlight w:val="none"/>
          <w:lang w:eastAsia="zh-CN"/>
          <w14:textFill>
            <w14:solidFill>
              <w14:schemeClr w14:val="tx1"/>
            </w14:solidFill>
          </w14:textFill>
        </w:rPr>
        <w:t>求</w:t>
      </w:r>
    </w:p>
    <w:p w14:paraId="43327CA7">
      <w:pPr>
        <w:keepNext w:val="0"/>
        <w:keepLines w:val="0"/>
        <w:widowControl w:val="0"/>
        <w:suppressLineNumbers w:val="0"/>
        <w:spacing w:before="0" w:beforeAutospacing="0" w:after="0" w:afterAutospacing="0" w:line="360" w:lineRule="auto"/>
        <w:ind w:left="0" w:right="0"/>
        <w:jc w:val="both"/>
        <w:rPr>
          <w:color w:val="000000" w:themeColor="text1"/>
          <w:szCs w:val="21"/>
          <w:highlight w:val="none"/>
          <w:lang w:val="en-US"/>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3.2.1.1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杜瓦内工作要求</w:t>
      </w:r>
    </w:p>
    <w:p w14:paraId="4AD64718">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1)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进入杜瓦内工作，需保证杜瓦内环境清洁，不带入有污渍的工具或其它设备。完成工作清洁工作区域，并带走相应废弃物。</w:t>
      </w:r>
    </w:p>
    <w:p w14:paraId="5BA8802C">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2)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进入杜瓦，需要进行人员、工作区域、工作内容报备。工作前需熟悉工作流程，拆卸部件进行统一归纳，且标识。</w:t>
      </w:r>
    </w:p>
    <w:p w14:paraId="2BECE5D7">
      <w:pPr>
        <w:keepNext w:val="0"/>
        <w:keepLines w:val="0"/>
        <w:widowControl w:val="0"/>
        <w:suppressLineNumbers w:val="0"/>
        <w:spacing w:before="0" w:beforeAutospacing="0" w:after="0" w:afterAutospacing="0" w:line="360" w:lineRule="auto"/>
        <w:ind w:left="0" w:right="0"/>
        <w:jc w:val="both"/>
        <w:rPr>
          <w:color w:val="000000" w:themeColor="text1"/>
          <w:szCs w:val="21"/>
          <w:highlight w:val="none"/>
          <w:lang w:val="en-US"/>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3.2.1.2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人员要求</w:t>
      </w:r>
    </w:p>
    <w:p w14:paraId="072D0E71">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1)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行车操作人员及引导人员需具备起吊工作资格并有大型重型设备起吊经验。</w:t>
      </w:r>
    </w:p>
    <w:p w14:paraId="4DBFA2FA">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2)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管道焊接人员，需具备常焊接资格证书。</w:t>
      </w:r>
    </w:p>
    <w:p w14:paraId="010365C8">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3)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无损检测人员，射线、渗透、氦气密性检测需具备</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II</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级以上资格。</w:t>
      </w:r>
    </w:p>
    <w:p w14:paraId="6DDBE6D7">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4)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测量引线连人员，了解常见接口类型及协议规范，能熟练使用万用表、示波器、信号发生器、逻辑分析仪等设备校准仪器精度，设置合理的量程与采样率；具备电路故障定位能力，如断路、短路、接触不良等，能过波形分析、数据对比等方式验证信号质量。</w:t>
      </w:r>
    </w:p>
    <w:p w14:paraId="6B5B4CD5">
      <w:pPr>
        <w:keepNext w:val="0"/>
        <w:keepLines w:val="0"/>
        <w:widowControl w:val="0"/>
        <w:suppressLineNumbers w:val="0"/>
        <w:spacing w:before="0" w:beforeAutospacing="0" w:after="0" w:afterAutospacing="0" w:line="360" w:lineRule="auto"/>
        <w:ind w:left="0" w:right="0"/>
        <w:jc w:val="both"/>
        <w:rPr>
          <w:color w:val="000000" w:themeColor="text1"/>
          <w:szCs w:val="21"/>
          <w:highlight w:val="none"/>
          <w:lang w:val="en-US"/>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3.2.1.3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磁体及相关部件吊装及转运要求</w:t>
      </w:r>
    </w:p>
    <w:p w14:paraId="56B0A14E">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磁体及相关部件，在磁体接收和磁体测试（吊入杜瓦）需要使用行车，主要要求如下：</w:t>
      </w:r>
    </w:p>
    <w:p w14:paraId="0A3BE86C">
      <w:pPr>
        <w:keepNext w:val="0"/>
        <w:keepLines w:val="0"/>
        <w:widowControl w:val="0"/>
        <w:numPr>
          <w:ilvl w:val="0"/>
          <w:numId w:val="1"/>
        </w:numPr>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起吊前，检查起重机（桥式、梁式等）的轨道、电机、钢丝绳、吊钩、限位器、制动器等关键部件，确保无磨损、变形或裂纹。</w:t>
      </w:r>
    </w:p>
    <w:p w14:paraId="42126219">
      <w:pPr>
        <w:keepNext w:val="0"/>
        <w:keepLines w:val="0"/>
        <w:widowControl w:val="0"/>
        <w:numPr>
          <w:ilvl w:val="0"/>
          <w:numId w:val="1"/>
        </w:numPr>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验证控制按钮、电缆、紧急停止功能正常，无短路或漏电风险。</w:t>
      </w:r>
    </w:p>
    <w:p w14:paraId="3AFCB47D">
      <w:pPr>
        <w:keepNext w:val="0"/>
        <w:keepLines w:val="0"/>
        <w:widowControl w:val="0"/>
        <w:numPr>
          <w:ilvl w:val="0"/>
          <w:numId w:val="1"/>
        </w:numPr>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测量转运路径的净空高度、宽度，避开障碍物（如管道、设备、建筑结构）。</w:t>
      </w:r>
    </w:p>
    <w:p w14:paraId="30B7A383">
      <w:pPr>
        <w:keepNext w:val="0"/>
        <w:keepLines w:val="0"/>
        <w:widowControl w:val="0"/>
        <w:numPr>
          <w:ilvl w:val="0"/>
          <w:numId w:val="1"/>
        </w:numPr>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起吊时，确保作业区域光线充足，操作员视线无遮挡。</w:t>
      </w:r>
    </w:p>
    <w:p w14:paraId="28BC821C">
      <w:pPr>
        <w:keepNext w:val="0"/>
        <w:keepLines w:val="0"/>
        <w:widowControl w:val="0"/>
        <w:numPr>
          <w:ilvl w:val="0"/>
          <w:numId w:val="1"/>
        </w:numPr>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根据提供的磁体吊架，通过花篮螺栓起吊磁体，吊装过程中，磁体倾斜角度不高于</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6°</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p>
    <w:p w14:paraId="4898B0CF">
      <w:pPr>
        <w:keepNext w:val="0"/>
        <w:keepLines w:val="0"/>
        <w:widowControl w:val="0"/>
        <w:numPr>
          <w:ilvl w:val="0"/>
          <w:numId w:val="1"/>
        </w:numPr>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起吊前，进行试吊，将磁体吊离地面</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100-200mm</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，静止</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1-2</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分钟，检查行车稳定性、吊具受力情况及重物平衡。若发现倾斜或异常响声，立即停止作业并调整。</w:t>
      </w:r>
    </w:p>
    <w:p w14:paraId="177EEA9E">
      <w:pPr>
        <w:keepNext w:val="0"/>
        <w:keepLines w:val="0"/>
        <w:widowControl w:val="0"/>
        <w:numPr>
          <w:ilvl w:val="0"/>
          <w:numId w:val="1"/>
        </w:numPr>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转运过程中，应进行速度控制，避免急加速</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急停，防止重物摆动。其次，转运时，应尽可能沿直线移动，减少横向晃动；需转向时，提前减速。第三，配备至少</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名指挥员，使用标准手势或对讲机沟通。第四，严禁人员在重物下方或移动路径内停留。</w:t>
      </w:r>
    </w:p>
    <w:p w14:paraId="4239D709">
      <w:pPr>
        <w:keepNext w:val="0"/>
        <w:keepLines w:val="0"/>
        <w:widowControl w:val="0"/>
        <w:suppressLineNumbers w:val="0"/>
        <w:spacing w:before="0" w:beforeAutospacing="0" w:after="0" w:afterAutospacing="0" w:line="360" w:lineRule="auto"/>
        <w:ind w:left="0" w:right="0"/>
        <w:jc w:val="both"/>
        <w:rPr>
          <w:color w:val="000000" w:themeColor="text1"/>
          <w:szCs w:val="21"/>
          <w:highlight w:val="none"/>
          <w:lang w:val="en-US"/>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3.2.1.4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压力管道焊接要求</w:t>
      </w:r>
    </w:p>
    <w:p w14:paraId="365AC45A">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在杜瓦外或杜瓦内安装压力引管时，需采用焊接方式进行连接管道，主要要求如下：</w:t>
      </w:r>
    </w:p>
    <w:p w14:paraId="1228EA1F">
      <w:pPr>
        <w:keepNext w:val="0"/>
        <w:keepLines w:val="0"/>
        <w:widowControl w:val="0"/>
        <w:numPr>
          <w:ilvl w:val="0"/>
          <w:numId w:val="2"/>
        </w:numPr>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提供连接管和焊材。焊接管材选择适用于无磁不锈钢，填充焊材，需与母材匹配。</w:t>
      </w:r>
    </w:p>
    <w:p w14:paraId="15DC7A19">
      <w:pPr>
        <w:keepNext w:val="0"/>
        <w:keepLines w:val="0"/>
        <w:widowControl w:val="0"/>
        <w:numPr>
          <w:ilvl w:val="0"/>
          <w:numId w:val="2"/>
        </w:numPr>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管道焊接前，对焊接部分进行打磨，清洗，确保焊接区域清洁无污染。</w:t>
      </w:r>
    </w:p>
    <w:p w14:paraId="1D378EC7">
      <w:pPr>
        <w:keepNext w:val="0"/>
        <w:keepLines w:val="0"/>
        <w:widowControl w:val="0"/>
        <w:numPr>
          <w:ilvl w:val="0"/>
          <w:numId w:val="2"/>
        </w:numPr>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管道焊接时，控制热输入，（低电流</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电压、快焊速），避免晶粒粗化；必要时采用多层多道焊减少热应力。此外，对重要焊缝采用双层气体保护（背面氩气）防止氧化。</w:t>
      </w:r>
    </w:p>
    <w:p w14:paraId="27F857E2">
      <w:pPr>
        <w:keepNext w:val="0"/>
        <w:keepLines w:val="0"/>
        <w:widowControl w:val="0"/>
        <w:numPr>
          <w:ilvl w:val="0"/>
          <w:numId w:val="2"/>
        </w:numPr>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焊接时，焊接采用对接焊接，平面度</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≤0.1mm/m</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，同轴度误差</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≤0.05mm</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p>
    <w:p w14:paraId="30309D4D">
      <w:pPr>
        <w:keepNext w:val="0"/>
        <w:keepLines w:val="0"/>
        <w:widowControl w:val="0"/>
        <w:numPr>
          <w:ilvl w:val="0"/>
          <w:numId w:val="2"/>
        </w:numPr>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焊接完成后，</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100%</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进行氦质谱检漏，焊缝漏率小于</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1×10</w:t>
      </w:r>
      <w:r>
        <w:rPr>
          <w:rFonts w:hint="default" w:ascii="Times New Roman" w:hAnsi="Times New Roman" w:eastAsia="宋体" w:cs="Times New Roman"/>
          <w:color w:val="000000" w:themeColor="text1"/>
          <w:kern w:val="2"/>
          <w:sz w:val="21"/>
          <w:szCs w:val="21"/>
          <w:highlight w:val="none"/>
          <w:vertAlign w:val="superscript"/>
          <w:lang w:val="en-US" w:eastAsia="zh-CN" w:bidi="ar"/>
          <w14:textFill>
            <w14:solidFill>
              <w14:schemeClr w14:val="tx1"/>
            </w14:solidFill>
          </w14:textFill>
        </w:rPr>
        <w:t>-9</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Pa·m</w:t>
      </w:r>
      <w:r>
        <w:rPr>
          <w:rFonts w:hint="default" w:ascii="Times New Roman" w:hAnsi="Times New Roman" w:eastAsia="宋体" w:cs="Times New Roman"/>
          <w:color w:val="000000" w:themeColor="text1"/>
          <w:kern w:val="2"/>
          <w:sz w:val="21"/>
          <w:szCs w:val="21"/>
          <w:highlight w:val="none"/>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/s</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，示踪氦气使用方式与甲方进行协商。</w:t>
      </w:r>
    </w:p>
    <w:p w14:paraId="1EBBAFB4">
      <w:pPr>
        <w:keepNext w:val="0"/>
        <w:keepLines w:val="0"/>
        <w:widowControl w:val="0"/>
        <w:numPr>
          <w:ilvl w:val="0"/>
          <w:numId w:val="2"/>
        </w:numPr>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焊接完成后，可进行渗透和射线检测的焊缝，行标准为</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NB/T47013.2</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二级要求</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不允许出现裂纹、未溶合和未焊透</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和</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JB/T 47013.5</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一级要求（线性缺陷不允许，圆形缺陷</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d≤2</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，且在平定框</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(35×100)≤1</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个）</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若使用其他无损检测方法，需和甲方进行协商。</w:t>
      </w:r>
    </w:p>
    <w:p w14:paraId="0AC461E8">
      <w:pPr>
        <w:pStyle w:val="4"/>
        <w:widowControl/>
        <w:adjustRightInd w:val="0"/>
        <w:rPr>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r>
        <w:rPr>
          <w:color w:val="000000" w:themeColor="text1"/>
          <w:sz w:val="21"/>
          <w:szCs w:val="21"/>
          <w:highlight w:val="none"/>
          <w:lang w:val="en-US" w:eastAsia="zh-CN"/>
          <w14:textFill>
            <w14:solidFill>
              <w14:schemeClr w14:val="tx1"/>
            </w14:solidFill>
          </w14:textFill>
        </w:rPr>
        <w:t xml:space="preserve">3.2.2 </w:t>
      </w:r>
      <w:r>
        <w:rPr>
          <w:color w:val="000000" w:themeColor="text1"/>
          <w:sz w:val="21"/>
          <w:szCs w:val="21"/>
          <w:highlight w:val="none"/>
          <w:lang w:eastAsia="zh-CN"/>
          <w14:textFill>
            <w14:solidFill>
              <w14:schemeClr w14:val="tx1"/>
            </w14:solidFill>
          </w14:textFill>
        </w:rPr>
        <w:t xml:space="preserve">转运及拆箱检查主要要求 </w:t>
      </w:r>
    </w:p>
    <w:p w14:paraId="095783F1">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1)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场地勘察：提前确认</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8#</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厂房内运输路径（通道宽度、地面承重、净空高度）、指定位置区域以及下车点。清除所有障碍物。</w:t>
      </w:r>
    </w:p>
    <w:p w14:paraId="7B1C6176">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2)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设备与工具：准备认证且吨位匹配的吊带</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钢丝绳、卸扣、保护垫木等。检查所有吊具无磨损、变形。</w:t>
      </w:r>
    </w:p>
    <w:p w14:paraId="0908E818">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3)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车辆固定与开箱：车辆停稳并采取防移动措施（如轮挡）。移除内部固定件（如支架、绑带），切勿在固定状态下强行起吊。</w:t>
      </w:r>
    </w:p>
    <w:p w14:paraId="7719562C">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4)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连接吊具：严格按照技术文件要求，将吊具连接至磁体本身的专用吊点。严禁将吊具直接套挂在磁体线圈、引线管或阀件等脆弱部位。在磁体棱角处使用护角保护吊带。</w:t>
      </w:r>
    </w:p>
    <w:p w14:paraId="35F2401F">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5)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转运与就位：由专人指挥，缓慢、平稳地将磁体吊运至</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8#</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厂房内指定位置的正上方。缓慢下降。全程保持低速，避免晃动和急停。</w:t>
      </w:r>
    </w:p>
    <w:p w14:paraId="400BBD3C">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6)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外观检查：记录外包装箱的状态（破损、受潮）。拆箱后，对磁体整体进行</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360°</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环视，查找是否穿在表面缺陷。</w:t>
      </w:r>
    </w:p>
    <w:p w14:paraId="1D5A9ACD">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7)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磁体连接检查：检查接头、电压抽头线、信号线的绝缘外皮是否完好，有无割伤、磨损。确认螺栓紧固无松动。</w:t>
      </w:r>
    </w:p>
    <w:p w14:paraId="452AA1CE">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8)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绝缘耐压测试：进行现场绝缘电阻测试，测试电压为</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2kV</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。要求在电压稳定维持</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5min</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的过程中测试部件不发生闪络，无击穿及明显的放电现象，同时要求线圈绝缘电阻大于</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500MΩ</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p>
    <w:p w14:paraId="4D0BAA50">
      <w:pPr>
        <w:pStyle w:val="4"/>
        <w:widowControl/>
        <w:adjustRightInd w:val="0"/>
        <w:rPr>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2.3.2.3 CC</w:t>
      </w:r>
      <w:r>
        <w:rPr>
          <w:rFonts w:hint="default" w:ascii="Times New Roman" w:hAnsi="Times New Roman" w:cs="Times New Roman"/>
          <w:color w:val="000000" w:themeColor="text1"/>
          <w:sz w:val="21"/>
          <w:szCs w:val="21"/>
          <w:highlight w:val="none"/>
          <w:lang w:eastAsia="zh-CN"/>
          <w14:textFill>
            <w14:solidFill>
              <w14:schemeClr w14:val="tx1"/>
            </w14:solidFill>
          </w14:textFill>
        </w:rPr>
        <w:t>线圈磁</w:t>
      </w:r>
      <w:r>
        <w:rPr>
          <w:color w:val="000000" w:themeColor="text1"/>
          <w:sz w:val="21"/>
          <w:szCs w:val="21"/>
          <w:highlight w:val="none"/>
          <w:lang w:eastAsia="zh-CN"/>
          <w14:textFill>
            <w14:solidFill>
              <w14:schemeClr w14:val="tx1"/>
            </w14:solidFill>
          </w14:textFill>
        </w:rPr>
        <w:t>体杜瓦外集成主要要求</w:t>
      </w:r>
    </w:p>
    <w:p w14:paraId="3CDD6830">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1)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磁体测试支撑平台制造：磁体测试支撑平台，不锈钢材质，多点式支撑平台，支撑重量不低于</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12</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吨，支撑高度不低于</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1m</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，支撑平面度</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0.5mm/m</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p>
    <w:p w14:paraId="2AF8E374">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 CC</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线圈转移及固定：线圈转移至支撑平台，起吊要求参考2.</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3.2.1.3</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章节，落位后进行夹具及支撑安装及固定。乙方需提供详细安装方案，待甲方审核后，方可实施。</w:t>
      </w:r>
    </w:p>
    <w:p w14:paraId="484BCA9D">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3) CC</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线圈绝缘处理：</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①</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线圈本体所有悬浮金属部件进行接地处理；</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②</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接头端子采用湿包方式进行绝缘处理，高压引线接头进行绝缘处理，处理完成后进行直流耐压测试，测试电压</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2kV</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，测试电阻大于</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500MΩ</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p>
    <w:p w14:paraId="2874F9A8">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4) CC</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线圈测试相机支撑安装：帕森测试接头部位进行相机观测，拆除影响相机视野的挡板、垫块，安装相机支撑。具体位置需和甲方进行核实</w:t>
      </w:r>
    </w:p>
    <w:p w14:paraId="3D7A66B5">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5)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乙方需提供详细杜瓦外安装方案，待甲方审核后，方可实施。</w:t>
      </w:r>
    </w:p>
    <w:p w14:paraId="6F06E9AA">
      <w:pPr>
        <w:pStyle w:val="4"/>
        <w:widowControl/>
        <w:adjustRightInd w:val="0"/>
        <w:rPr>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2.3.2.4 CC</w:t>
      </w:r>
      <w:r>
        <w:rPr>
          <w:rFonts w:hint="default" w:ascii="Times New Roman" w:hAnsi="Times New Roman" w:cs="Times New Roman"/>
          <w:color w:val="000000" w:themeColor="text1"/>
          <w:sz w:val="21"/>
          <w:szCs w:val="21"/>
          <w:highlight w:val="none"/>
          <w:lang w:eastAsia="zh-CN"/>
          <w14:textFill>
            <w14:solidFill>
              <w14:schemeClr w14:val="tx1"/>
            </w14:solidFill>
          </w14:textFill>
        </w:rPr>
        <w:t>线圈</w:t>
      </w:r>
      <w:r>
        <w:rPr>
          <w:color w:val="000000" w:themeColor="text1"/>
          <w:sz w:val="21"/>
          <w:szCs w:val="21"/>
          <w:highlight w:val="none"/>
          <w:lang w:eastAsia="zh-CN"/>
          <w14:textFill>
            <w14:solidFill>
              <w14:schemeClr w14:val="tx1"/>
            </w14:solidFill>
          </w14:textFill>
        </w:rPr>
        <w:t>磁体杜瓦内集成主要要求</w:t>
      </w:r>
    </w:p>
    <w:p w14:paraId="01F6FD93">
      <w:pPr>
        <w:keepNext w:val="0"/>
        <w:keepLines w:val="0"/>
        <w:widowControl w:val="0"/>
        <w:suppressLineNumbers w:val="0"/>
        <w:spacing w:before="0" w:beforeAutospacing="0" w:after="0" w:afterAutospacing="0" w:line="360" w:lineRule="auto"/>
        <w:ind w:left="0" w:right="0"/>
        <w:jc w:val="both"/>
        <w:rPr>
          <w:color w:val="000000" w:themeColor="text1"/>
          <w:szCs w:val="21"/>
          <w:highlight w:val="none"/>
          <w:lang w:val="en-US"/>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3.2.4.</w:t>
      </w: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高压测量引线连接</w:t>
      </w:r>
    </w:p>
    <w:p w14:paraId="05823A3C">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1)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高压测量引线，应避免与其他高功率线路平行走线，连接至高压真空插座，并进行编号</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标记。</w:t>
      </w:r>
    </w:p>
    <w:p w14:paraId="0D8BC726">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2)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引线应有长度冗余过渡段以释放机械应力。</w:t>
      </w:r>
    </w:p>
    <w:p w14:paraId="0B04D0DA">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3)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乙方需提供详细安装方案，待甲方审核后，方可实施。</w:t>
      </w:r>
    </w:p>
    <w:p w14:paraId="01A9FC44">
      <w:pPr>
        <w:keepNext w:val="0"/>
        <w:keepLines w:val="0"/>
        <w:widowControl w:val="0"/>
        <w:suppressLineNumbers w:val="0"/>
        <w:spacing w:before="0" w:beforeAutospacing="0" w:after="0" w:afterAutospacing="0" w:line="360" w:lineRule="auto"/>
        <w:ind w:left="0" w:right="0"/>
        <w:jc w:val="both"/>
        <w:rPr>
          <w:color w:val="000000" w:themeColor="text1"/>
          <w:szCs w:val="21"/>
          <w:highlight w:val="none"/>
          <w:lang w:val="en-US"/>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3.2.4.</w:t>
      </w: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高压集线器（</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SD</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）安装</w:t>
      </w:r>
    </w:p>
    <w:p w14:paraId="612ADE7A">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1)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测试安装需要</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1-2</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个高压集线器</w:t>
      </w:r>
    </w:p>
    <w:p w14:paraId="421E69D8">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 PI</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线与</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PI</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缆连接后需要对连接的可靠性进行电阻测试以及拉力测试，拉力大于</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30N</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p>
    <w:p w14:paraId="631A5433">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3) SD</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安装过程需要现场注胶，需要用到注胶设备和抽真空设备等辅助电气设备，该设备及材料费用要求包含在</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SD</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制造及安装费用中。</w:t>
      </w:r>
    </w:p>
    <w:p w14:paraId="7699D231">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4) SD</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连接后需要对两端的线、缆做标签标识，方便查找问题。</w:t>
      </w:r>
    </w:p>
    <w:p w14:paraId="374B58ED">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5) SD</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完成后需要用环氧板进行安装及固定，要求排列整齐，美观。</w:t>
      </w:r>
    </w:p>
    <w:p w14:paraId="70B515F7">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6)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乙方需提供详细安装方案，待甲方审核后，方可实施。</w:t>
      </w:r>
    </w:p>
    <w:p w14:paraId="1D31F5EF">
      <w:pPr>
        <w:pStyle w:val="4"/>
        <w:widowControl/>
        <w:adjustRightInd w:val="0"/>
        <w:rPr>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2.3.2.5 </w:t>
      </w:r>
      <w:r>
        <w:rPr>
          <w:rFonts w:hint="default" w:ascii="Times New Roman" w:hAnsi="Times New Roman" w:cs="Times New Roman"/>
          <w:color w:val="000000" w:themeColor="text1"/>
          <w:sz w:val="21"/>
          <w:szCs w:val="21"/>
          <w:highlight w:val="none"/>
          <w:lang w:eastAsia="zh-CN"/>
          <w14:textFill>
            <w14:solidFill>
              <w14:schemeClr w14:val="tx1"/>
            </w14:solidFill>
          </w14:textFill>
        </w:rPr>
        <w:t>磁</w:t>
      </w:r>
      <w:r>
        <w:rPr>
          <w:color w:val="000000" w:themeColor="text1"/>
          <w:sz w:val="21"/>
          <w:szCs w:val="21"/>
          <w:highlight w:val="none"/>
          <w:lang w:eastAsia="zh-CN"/>
          <w14:textFill>
            <w14:solidFill>
              <w14:schemeClr w14:val="tx1"/>
            </w14:solidFill>
          </w14:textFill>
        </w:rPr>
        <w:t>体测试服务主要要求</w:t>
      </w:r>
    </w:p>
    <w:p w14:paraId="2894C977">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1)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线圈服务要求：提供人员（具备相关测试经验）辅助进行线圈相关参数测试；对测量设备提供设备校准服务（如直流耐压测试仪、压力传感器、真空规管、电流传感器等）。</w:t>
      </w:r>
    </w:p>
    <w:p w14:paraId="6317AB93">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2)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硬件维护服务要求：线圈测试过程中，提供专业人员（具备基础网络知识和服务器架构知识）进行硬件</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24</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小时维护、定期检查、故障处理等工作服务，记录异常告警，及时处理报错信息。</w:t>
      </w:r>
    </w:p>
    <w:p w14:paraId="74F5B8DC">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3)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其它服务要求：能够提供专业人员（具备相关专业能力，熟悉相关系统操作流程）辅助进行系统调试（如真空系统、控制系统等）和线圈测试过程中，系统设备及控制系统</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24</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小时巡查和维护；提供必要的设备耗材（如专用工装、氦气、泵油等）。</w:t>
      </w:r>
    </w:p>
    <w:p w14:paraId="6E91746A">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4)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具体服务方案乙方需按照甲方要求，制定详细服务计划。</w:t>
      </w:r>
    </w:p>
    <w:p w14:paraId="03F6C932">
      <w:pPr>
        <w:pStyle w:val="4"/>
        <w:widowControl/>
        <w:adjustRightInd w:val="0"/>
        <w:rPr>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2.3.2.6 </w:t>
      </w:r>
      <w:r>
        <w:rPr>
          <w:rFonts w:hint="default" w:ascii="Times New Roman" w:hAnsi="Times New Roman" w:cs="Times New Roman"/>
          <w:color w:val="000000" w:themeColor="text1"/>
          <w:sz w:val="21"/>
          <w:szCs w:val="21"/>
          <w:highlight w:val="none"/>
          <w:lang w:eastAsia="zh-CN"/>
          <w14:textFill>
            <w14:solidFill>
              <w14:schemeClr w14:val="tx1"/>
            </w14:solidFill>
          </w14:textFill>
        </w:rPr>
        <w:t>线圈测</w:t>
      </w:r>
      <w:r>
        <w:rPr>
          <w:color w:val="000000" w:themeColor="text1"/>
          <w:sz w:val="21"/>
          <w:szCs w:val="21"/>
          <w:highlight w:val="none"/>
          <w:lang w:eastAsia="zh-CN"/>
          <w14:textFill>
            <w14:solidFill>
              <w14:schemeClr w14:val="tx1"/>
            </w14:solidFill>
          </w14:textFill>
        </w:rPr>
        <w:t>试后拆除、恢复及包装运输主要要求</w:t>
      </w:r>
    </w:p>
    <w:p w14:paraId="63E99AD6">
      <w:pPr>
        <w:keepNext w:val="0"/>
        <w:keepLines w:val="0"/>
        <w:widowControl w:val="0"/>
        <w:suppressLineNumbers w:val="0"/>
        <w:spacing w:before="0" w:beforeAutospacing="0" w:after="0" w:afterAutospacing="0" w:line="360" w:lineRule="auto"/>
        <w:ind w:left="0" w:right="0"/>
        <w:jc w:val="both"/>
        <w:rPr>
          <w:color w:val="000000" w:themeColor="text1"/>
          <w:szCs w:val="21"/>
          <w:highlight w:val="none"/>
          <w:lang w:val="en-US"/>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3.2.6.1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高低电压测量引线拆除</w:t>
      </w:r>
    </w:p>
    <w:p w14:paraId="57351B15">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1)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应避免拉扯，防止接口针脚变形或线缆内部断裂，拆除后对测量引线进行编号</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标记，记录位置与功能，以便后续恢复。</w:t>
      </w:r>
    </w:p>
    <w:p w14:paraId="18B69D0E">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2)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应检查引线绝缘层是否破损、接口氧化或松动，发现异常，需报备甲方。</w:t>
      </w:r>
    </w:p>
    <w:p w14:paraId="262E35EB">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3)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拆除后，线盘绕成圈，避免弯折。</w:t>
      </w:r>
    </w:p>
    <w:p w14:paraId="5546505F">
      <w:pPr>
        <w:keepNext w:val="0"/>
        <w:keepLines w:val="0"/>
        <w:widowControl w:val="0"/>
        <w:suppressLineNumbers w:val="0"/>
        <w:spacing w:before="0" w:beforeAutospacing="0" w:after="0" w:afterAutospacing="0" w:line="360" w:lineRule="auto"/>
        <w:ind w:left="0" w:right="0"/>
        <w:jc w:val="both"/>
        <w:rPr>
          <w:color w:val="000000" w:themeColor="text1"/>
          <w:szCs w:val="21"/>
          <w:highlight w:val="none"/>
          <w:lang w:val="en-US"/>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3.2.6.2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压力引管拆除</w:t>
      </w:r>
    </w:p>
    <w:p w14:paraId="10B1AEC2">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1)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压力引管切割拆除时，应注意保持工作区域清洁，建议采用割管道进行切割。</w:t>
      </w:r>
    </w:p>
    <w:p w14:paraId="7F818F86">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2)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切割完成后对切口进行标记和封口。</w:t>
      </w:r>
    </w:p>
    <w:p w14:paraId="11760593">
      <w:pPr>
        <w:keepNext w:val="0"/>
        <w:keepLines w:val="0"/>
        <w:widowControl w:val="0"/>
        <w:suppressLineNumbers w:val="0"/>
        <w:spacing w:before="0" w:beforeAutospacing="0" w:after="0" w:afterAutospacing="0" w:line="360" w:lineRule="auto"/>
        <w:ind w:left="0" w:right="0"/>
        <w:jc w:val="both"/>
        <w:rPr>
          <w:color w:val="000000" w:themeColor="text1"/>
          <w:szCs w:val="21"/>
          <w:highlight w:val="none"/>
          <w:lang w:val="en-US"/>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3.2.6.3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线圈吊出</w:t>
      </w:r>
    </w:p>
    <w:p w14:paraId="346B80F4">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1)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起吊工作改造，增加吊架放置支撑，不锈钢材质，支撑点与吊架匹配（</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5</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点支撑）支撑高度不低于</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1000mm</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，且与吊架有固定连接点。</w:t>
      </w:r>
    </w:p>
    <w:p w14:paraId="1FBBCD85">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2)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起吊完成后，工装放置在线圈上方，放置时，应注意吊装工作清洁无误，以免污染线圈。</w:t>
      </w:r>
    </w:p>
    <w:p w14:paraId="19CD7AB5">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3)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完成吊装后，采用清洁透明的工装罩包裹线圈，避免后期放置造成污染。</w:t>
      </w:r>
    </w:p>
    <w:p w14:paraId="22476C21">
      <w:pPr>
        <w:keepNext w:val="0"/>
        <w:keepLines w:val="0"/>
        <w:widowControl w:val="0"/>
        <w:suppressLineNumbers w:val="0"/>
        <w:spacing w:before="0" w:beforeAutospacing="0" w:after="0" w:afterAutospacing="0" w:line="360" w:lineRule="auto"/>
        <w:ind w:left="0" w:right="0"/>
        <w:jc w:val="both"/>
        <w:rPr>
          <w:color w:val="000000" w:themeColor="text1"/>
          <w:szCs w:val="21"/>
          <w:highlight w:val="none"/>
          <w:lang w:val="en-US"/>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3.2.6.4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超导接头绝缘拆除</w:t>
      </w:r>
    </w:p>
    <w:p w14:paraId="6BAFFB6C">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1)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超导接头绝缘拆除时，应从外到内，逐层剥离，剥离的绝缘应及时清除，保证工作区域清洁。</w:t>
      </w:r>
    </w:p>
    <w:p w14:paraId="3DCE61F9">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2)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使用软质刮刀（如特氟龙）去除残留，然后使用丙酮和酒精清除残余铟片。</w:t>
      </w:r>
    </w:p>
    <w:p w14:paraId="67BAD7FF">
      <w:pPr>
        <w:keepNext w:val="0"/>
        <w:keepLines w:val="0"/>
        <w:widowControl w:val="0"/>
        <w:suppressLineNumbers w:val="0"/>
        <w:spacing w:before="0" w:beforeAutospacing="0" w:after="0" w:afterAutospacing="0" w:line="360" w:lineRule="auto"/>
        <w:ind w:left="0" w:right="0"/>
        <w:jc w:val="both"/>
        <w:rPr>
          <w:color w:val="000000" w:themeColor="text1"/>
          <w:szCs w:val="21"/>
          <w:highlight w:val="none"/>
          <w:lang w:val="en-US"/>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3.2.6.5 CC</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线圈包装</w:t>
      </w:r>
    </w:p>
    <w:p w14:paraId="15995AC7">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1)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线圈包装包含必要工装，设计制造的运输工装包含必要的防撞、减震、防共振措施，结构需满足部件在运输过程中能够承受各方向至少</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5g</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加速度载荷的要求。同时应该满足用于中转的吊运要求。</w:t>
      </w:r>
    </w:p>
    <w:p w14:paraId="299C019E">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2)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需要具有一定刚性的保护罩，保护罩内部包括用于接头、管道等的临时支撑来对部件进行固定，满足运输过程要求。</w:t>
      </w:r>
    </w:p>
    <w:p w14:paraId="13CEF60B">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3)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管道内，以及密闭空间内需分别充惰性气体进行保护，压力值约</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0.12MPa</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，压力值需要仪表监测。</w:t>
      </w:r>
    </w:p>
    <w:p w14:paraId="44E93273">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4)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具体方案由方需按照甲方要求制定</w:t>
      </w:r>
    </w:p>
    <w:p w14:paraId="688B62EB">
      <w:pPr>
        <w:pStyle w:val="4"/>
        <w:widowControl/>
        <w:adjustRightInd w:val="0"/>
        <w:rPr>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2.3.3 </w:t>
      </w:r>
      <w:r>
        <w:rPr>
          <w:rFonts w:hint="default" w:ascii="Times New Roman" w:hAnsi="Times New Roman" w:cs="Times New Roman"/>
          <w:color w:val="000000" w:themeColor="text1"/>
          <w:sz w:val="21"/>
          <w:szCs w:val="21"/>
          <w:highlight w:val="none"/>
          <w:lang w:eastAsia="zh-CN"/>
          <w14:textFill>
            <w14:solidFill>
              <w14:schemeClr w14:val="tx1"/>
            </w14:solidFill>
          </w14:textFill>
        </w:rPr>
        <w:t>质</w:t>
      </w:r>
      <w:r>
        <w:rPr>
          <w:color w:val="000000" w:themeColor="text1"/>
          <w:sz w:val="21"/>
          <w:szCs w:val="21"/>
          <w:highlight w:val="none"/>
          <w:lang w:eastAsia="zh-CN"/>
          <w14:textFill>
            <w14:solidFill>
              <w14:schemeClr w14:val="tx1"/>
            </w14:solidFill>
          </w14:textFill>
        </w:rPr>
        <w:t>量控制要求</w:t>
      </w:r>
    </w:p>
    <w:p w14:paraId="4DE20882">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szCs w:val="21"/>
          <w:highlight w:val="none"/>
          <w:lang w:val="en-US"/>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提供质量计划（</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QP</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），安装检测计划（</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MIP</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），制造及完工后的各项检测记录等质量文件，具体工作进度和关键技术节点等相关工作报告周期为每月一次。</w:t>
      </w:r>
    </w:p>
    <w:p w14:paraId="4B5915B9">
      <w:pPr>
        <w:keepNext w:val="0"/>
        <w:keepLines w:val="0"/>
        <w:widowControl w:val="0"/>
        <w:suppressLineNumbers w:val="0"/>
        <w:spacing w:before="0" w:beforeAutospacing="0" w:after="0" w:afterAutospacing="0" w:line="360" w:lineRule="auto"/>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为了</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CC</w:t>
      </w: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线圈磁体测试外协服务过程中重要工艺活动的质量过程得到有效控制，在外协合同签订时，将制定质量计划并设置质量控制点，质量计划生效后，采购人将严格按照质量计划确认的流程、节点进行相应活动，对质量计划设置的</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R</w:t>
      </w: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（报告</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记录检查点）、</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w:t>
      </w: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（现场见证点）、</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H</w:t>
      </w: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（停工待检点）控制点，供应商应根据系统研制进度及时通知相关方进行见证、检查，签字确认放行。当项目、先决条件、作业过程等发生重大变更时，质量计划应重新修订。</w:t>
      </w:r>
      <w:bookmarkEnd w:id="0"/>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08B654"/>
    <w:multiLevelType w:val="multilevel"/>
    <w:tmpl w:val="EA08B654"/>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73BF048"/>
    <w:multiLevelType w:val="multilevel"/>
    <w:tmpl w:val="573BF048"/>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3C1985"/>
    <w:rsid w:val="203C1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4">
    <w:name w:val="heading 3"/>
    <w:basedOn w:val="1"/>
    <w:next w:val="1"/>
    <w:qFormat/>
    <w:uiPriority w:val="0"/>
    <w:pPr>
      <w:keepNext/>
      <w:keepLines/>
      <w:widowControl/>
      <w:snapToGrid w:val="0"/>
      <w:spacing w:line="360" w:lineRule="auto"/>
      <w:jc w:val="left"/>
      <w:outlineLvl w:val="2"/>
    </w:pPr>
    <w:rPr>
      <w:rFonts w:ascii="宋体" w:hAnsi="宋体"/>
      <w:b/>
      <w:bCs/>
      <w:kern w:val="0"/>
      <w:sz w:val="28"/>
      <w:lang w:eastAsia="en-US" w:bidi="en-US"/>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eastAsia="黑体"/>
      <w:sz w:val="36"/>
    </w:rPr>
  </w:style>
  <w:style w:type="paragraph" w:styleId="5">
    <w:name w:val="Plain Text"/>
    <w:basedOn w:val="1"/>
    <w:qFormat/>
    <w:uiPriority w:val="0"/>
    <w:rPr>
      <w:rFonts w:ascii="宋体" w:hAnsi="Courier New"/>
      <w:szCs w:val="21"/>
    </w:rPr>
  </w:style>
  <w:style w:type="table" w:styleId="7">
    <w:name w:val="Table Grid"/>
    <w:basedOn w:val="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表内容"/>
    <w:basedOn w:val="1"/>
    <w:qFormat/>
    <w:uiPriority w:val="0"/>
    <w:pPr>
      <w:keepNext w:val="0"/>
      <w:keepLines w:val="0"/>
      <w:widowControl w:val="0"/>
      <w:suppressLineNumbers w:val="0"/>
      <w:snapToGrid w:val="0"/>
      <w:spacing w:before="0" w:beforeAutospacing="0" w:after="0" w:afterAutospacing="0"/>
      <w:ind w:left="0" w:right="0" w:firstLine="240" w:firstLineChars="100"/>
      <w:jc w:val="center"/>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2026-03-16T07:36:00Z</dcterms:created>
  <dc:creator>宋方方</dc:creator>
  <cp:lastModifiedBy>宋方方</cp:lastModifiedBy>
  <dcterms:modified xsi:type="dcterms:W3CDTF">2026-03-16T07:37:02Z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4991DEC1831146E09417ED6362AF9815_11</vt:lpwstr>
  </property>
  <property fmtid="{D5CDD505-2E9C-101B-9397-08002B2CF9AE}" pid="4" name="KSOTemplateDocerSaveRecord">
    <vt:lpwstr>eyJoZGlkIjoiY2ZjZDI4YmRkZDY3MGZmNjNjY2JiZTFlYmI4OWM0ZWEiLCJ1c2VySWQiOiIxNzYzODEyODI4In0=</vt:lpwstr>
  </property>
</Properties>
</file>