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253A">
      <w:pPr>
        <w:pStyle w:val="4"/>
        <w:numPr>
          <w:numId w:val="0"/>
        </w:numPr>
        <w:ind w:leftChars="0"/>
        <w:rPr>
          <w:lang w:eastAsia="zh-CN"/>
        </w:rPr>
      </w:pPr>
    </w:p>
    <w:p w14:paraId="1024E882">
      <w:pPr>
        <w:pStyle w:val="4"/>
        <w:numPr>
          <w:numId w:val="0"/>
        </w:numPr>
        <w:ind w:leftChars="0"/>
        <w:rPr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主要技术指标</w:t>
      </w:r>
    </w:p>
    <w:p w14:paraId="408C95DE">
      <w:pPr>
        <w:ind w:firstLine="480"/>
        <w:rPr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破口实验段设计技术指标见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 xml:space="preserve">REF _Ref211092700 \h</w:instrText>
      </w:r>
      <w:r>
        <w:rPr>
          <w:lang w:eastAsia="zh-CN"/>
        </w:rPr>
        <w:instrText xml:space="preserve">  \* MERGEFORMAT </w:instrText>
      </w:r>
      <w:r>
        <w:rPr>
          <w:lang w:eastAsia="zh-CN"/>
        </w:rPr>
        <w:fldChar w:fldCharType="separate"/>
      </w:r>
      <w:r>
        <w:rPr>
          <w:rFonts w:hint="eastAsia" w:asciiTheme="minorEastAsia" w:hAnsiTheme="minorEastAsia" w:eastAsiaTheme="minorEastAsia"/>
          <w:b/>
          <w:bCs/>
          <w:lang w:eastAsia="zh-CN"/>
        </w:rPr>
        <w:t>表</w:t>
      </w:r>
      <w:r>
        <w:rPr>
          <w:rFonts w:asciiTheme="minorEastAsia" w:hAnsiTheme="minorEastAsia" w:eastAsiaTheme="minorEastAsia"/>
          <w:b/>
          <w:bCs/>
          <w:lang w:eastAsia="zh-CN"/>
        </w:rPr>
        <w:t>2</w:t>
      </w:r>
      <w:r>
        <w:rPr>
          <w:lang w:eastAsia="zh-CN"/>
        </w:rPr>
        <w:fldChar w:fldCharType="end"/>
      </w:r>
      <w:r>
        <w:rPr>
          <w:rFonts w:hint="eastAsia"/>
          <w:lang w:eastAsia="zh-CN"/>
        </w:rPr>
        <w:t>。</w:t>
      </w:r>
    </w:p>
    <w:p w14:paraId="6C5E4F12">
      <w:pPr>
        <w:pStyle w:val="5"/>
        <w:keepNext/>
        <w:ind w:firstLine="402"/>
        <w:rPr>
          <w:rFonts w:asciiTheme="minorEastAsia" w:hAnsiTheme="minorEastAsia" w:eastAsiaTheme="minorEastAsia"/>
          <w:lang w:eastAsia="zh-CN"/>
        </w:rPr>
      </w:pPr>
      <w:bookmarkStart w:id="0" w:name="_Ref211092700"/>
      <w:r>
        <w:rPr>
          <w:rFonts w:hint="eastAsia" w:asciiTheme="minorEastAsia" w:hAnsiTheme="minorEastAsia" w:eastAsiaTheme="minorEastAsia"/>
          <w:b/>
          <w:bCs/>
          <w:lang w:eastAsia="zh-CN"/>
        </w:rPr>
        <w:t xml:space="preserve">表 </w: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begin"/>
      </w:r>
      <w:r>
        <w:rPr>
          <w:rFonts w:asciiTheme="minorEastAsia" w:hAnsiTheme="minorEastAsia" w:eastAsiaTheme="minorEastAsia"/>
          <w:b/>
          <w:bCs/>
          <w:lang w:eastAsia="zh-CN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lang w:eastAsia="zh-CN"/>
        </w:rPr>
        <w:instrText xml:space="preserve">SEQ 表 \* ARABIC</w:instrText>
      </w:r>
      <w:r>
        <w:rPr>
          <w:rFonts w:asciiTheme="minorEastAsia" w:hAnsiTheme="minorEastAsia" w:eastAsiaTheme="minorEastAsia"/>
          <w:b/>
          <w:bCs/>
          <w:lang w:eastAsia="zh-CN"/>
        </w:rPr>
        <w:instrText xml:space="preserve"> </w:instrTex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separate"/>
      </w:r>
      <w:r>
        <w:rPr>
          <w:rFonts w:asciiTheme="minorEastAsia" w:hAnsiTheme="minorEastAsia" w:eastAsiaTheme="minorEastAsia"/>
          <w:b/>
          <w:bCs/>
          <w:lang w:eastAsia="zh-CN"/>
        </w:rPr>
        <w:t>2</w: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end"/>
      </w:r>
      <w:bookmarkEnd w:id="0"/>
      <w:r>
        <w:rPr>
          <w:rFonts w:hint="eastAsia" w:asciiTheme="minorEastAsia" w:hAnsiTheme="minorEastAsia" w:eastAsiaTheme="minorEastAsia"/>
          <w:lang w:eastAsia="zh-CN"/>
        </w:rPr>
        <w:t xml:space="preserve"> 破口实验段设计参数</w:t>
      </w:r>
    </w:p>
    <w:tbl>
      <w:tblPr>
        <w:tblStyle w:val="8"/>
        <w:tblW w:w="4332" w:type="pct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4922"/>
      </w:tblGrid>
      <w:tr w14:paraId="73AC0B0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90C552E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技术参数</w:t>
            </w:r>
          </w:p>
        </w:tc>
        <w:tc>
          <w:tcPr>
            <w:tcW w:w="3333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92CB86D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内容</w:t>
            </w:r>
          </w:p>
        </w:tc>
      </w:tr>
      <w:tr w14:paraId="7DFDAA4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A301F27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工作介质</w:t>
            </w:r>
          </w:p>
        </w:tc>
        <w:tc>
          <w:tcPr>
            <w:tcW w:w="333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1327EEB7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高压水（15.5MPa,325</w:t>
            </w:r>
            <w:r>
              <w:rPr>
                <w:rFonts w:eastAsia="宋体"/>
                <w:sz w:val="20"/>
                <w:szCs w:val="20"/>
                <w:lang w:eastAsia="zh-CN"/>
              </w:rPr>
              <w:t>℃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754CAFC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noWrap/>
          </w:tcPr>
          <w:p w14:paraId="72B1BF7E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气体氛围</w:t>
            </w:r>
          </w:p>
        </w:tc>
        <w:tc>
          <w:tcPr>
            <w:tcW w:w="3333" w:type="pct"/>
            <w:noWrap/>
          </w:tcPr>
          <w:p w14:paraId="280C274E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高纯氦气（0.1-0.3MPa）</w:t>
            </w:r>
          </w:p>
        </w:tc>
      </w:tr>
      <w:tr w14:paraId="5CEBE64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071B4874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填充球床体积</w:t>
            </w:r>
          </w:p>
        </w:tc>
        <w:tc>
          <w:tcPr>
            <w:tcW w:w="333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CB73EAA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Cs/>
                <w:sz w:val="20"/>
                <w:szCs w:val="20"/>
                <w:lang w:eastAsia="zh-CN"/>
              </w:rPr>
              <w:sym w:font="Symbol" w:char="F0B3"/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380×400×190 mm</w:t>
            </w:r>
            <w:r>
              <w:rPr>
                <w:rFonts w:eastAsia="宋体"/>
                <w:bCs/>
                <w:sz w:val="20"/>
                <w:szCs w:val="20"/>
                <w:vertAlign w:val="superscript"/>
                <w:lang w:eastAsia="zh-CN"/>
              </w:rPr>
              <w:t>3</w:t>
            </w:r>
          </w:p>
        </w:tc>
      </w:tr>
      <w:tr w14:paraId="7951DE4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noWrap/>
          </w:tcPr>
          <w:p w14:paraId="275BB59C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设计压力</w:t>
            </w:r>
          </w:p>
        </w:tc>
        <w:tc>
          <w:tcPr>
            <w:tcW w:w="3333" w:type="pct"/>
            <w:noWrap/>
          </w:tcPr>
          <w:p w14:paraId="0452D8C0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 MPa</w:t>
            </w:r>
          </w:p>
        </w:tc>
      </w:tr>
      <w:tr w14:paraId="01A1DE4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4C8D076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设计温度</w:t>
            </w:r>
          </w:p>
        </w:tc>
        <w:tc>
          <w:tcPr>
            <w:tcW w:w="333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6F21F27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450 ℃</w:t>
            </w:r>
          </w:p>
        </w:tc>
      </w:tr>
      <w:tr w14:paraId="212F4DA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noWrap/>
          </w:tcPr>
          <w:p w14:paraId="35E43114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喷管内径范围</w:t>
            </w:r>
          </w:p>
        </w:tc>
        <w:tc>
          <w:tcPr>
            <w:tcW w:w="3333" w:type="pct"/>
            <w:noWrap/>
          </w:tcPr>
          <w:p w14:paraId="0E3BA4D6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1-8mm</w:t>
            </w:r>
          </w:p>
        </w:tc>
      </w:tr>
      <w:tr w14:paraId="57C3C81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08EEC285">
            <w:pPr>
              <w:spacing w:line="240" w:lineRule="auto"/>
              <w:ind w:firstLine="0" w:firstLineChars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喷管长度</w:t>
            </w:r>
          </w:p>
        </w:tc>
        <w:tc>
          <w:tcPr>
            <w:tcW w:w="333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AA930D9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15-200mm</w:t>
            </w:r>
          </w:p>
        </w:tc>
      </w:tr>
      <w:tr w14:paraId="6976388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noWrap/>
          </w:tcPr>
          <w:p w14:paraId="38E8BF03">
            <w:pPr>
              <w:spacing w:line="240" w:lineRule="auto"/>
              <w:ind w:firstLine="0" w:firstLineChars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入射水温度范围</w:t>
            </w:r>
          </w:p>
        </w:tc>
        <w:tc>
          <w:tcPr>
            <w:tcW w:w="3333" w:type="pct"/>
            <w:noWrap/>
          </w:tcPr>
          <w:p w14:paraId="53F497F3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285-325</w:t>
            </w:r>
            <w:r>
              <w:rPr>
                <w:rFonts w:eastAsia="宋体"/>
                <w:sz w:val="20"/>
                <w:szCs w:val="20"/>
                <w:lang w:eastAsia="zh-CN"/>
              </w:rPr>
              <w:t>℃</w:t>
            </w:r>
          </w:p>
        </w:tc>
      </w:tr>
      <w:tr w14:paraId="4D4F61E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AFCA4FB">
            <w:pPr>
              <w:spacing w:line="240" w:lineRule="auto"/>
              <w:ind w:firstLine="0" w:firstLineChars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实验段内压力范围</w:t>
            </w:r>
          </w:p>
        </w:tc>
        <w:tc>
          <w:tcPr>
            <w:tcW w:w="333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952172A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0.1-0.3MPa</w:t>
            </w:r>
          </w:p>
        </w:tc>
      </w:tr>
      <w:tr w14:paraId="0713B2A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67" w:type="pct"/>
            <w:noWrap/>
          </w:tcPr>
          <w:p w14:paraId="39DA2696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实验段球床加热功率</w:t>
            </w:r>
          </w:p>
        </w:tc>
        <w:tc>
          <w:tcPr>
            <w:tcW w:w="3333" w:type="pct"/>
            <w:noWrap/>
          </w:tcPr>
          <w:p w14:paraId="01071094">
            <w:pPr>
              <w:spacing w:line="240" w:lineRule="auto"/>
              <w:ind w:firstLine="0" w:firstLineChars="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45KW可调</w:t>
            </w:r>
          </w:p>
        </w:tc>
      </w:tr>
    </w:tbl>
    <w:p w14:paraId="07A06E8C">
      <w:pPr>
        <w:ind w:firstLine="480"/>
        <w:rPr>
          <w:rFonts w:eastAsia="宋体"/>
          <w:lang w:eastAsia="zh-CN"/>
        </w:rPr>
      </w:pPr>
      <w:r>
        <w:rPr>
          <w:rFonts w:eastAsia="宋体"/>
          <w:lang w:eastAsia="zh-CN"/>
        </w:rPr>
        <w:t>破口实验段需要验收的运行工况见下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REF _Ref211092704 \h  \* MERGEFORMAT </w:instrText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表3</w:t>
      </w:r>
      <w:r>
        <w:rPr>
          <w:rFonts w:eastAsia="宋体"/>
          <w:lang w:eastAsia="zh-CN"/>
        </w:rPr>
        <w:fldChar w:fldCharType="end"/>
      </w:r>
      <w:r>
        <w:rPr>
          <w:rFonts w:eastAsia="宋体"/>
          <w:lang w:eastAsia="zh-CN"/>
        </w:rPr>
        <w:t>。需要验证不同破口以及热工参数下的增殖区温度压力响应情况。</w:t>
      </w:r>
    </w:p>
    <w:p w14:paraId="75F31D5F">
      <w:pPr>
        <w:pStyle w:val="5"/>
        <w:keepNext/>
        <w:ind w:firstLine="0" w:firstLineChars="0"/>
        <w:rPr>
          <w:rFonts w:asciiTheme="minorEastAsia" w:hAnsiTheme="minorEastAsia" w:eastAsiaTheme="minorEastAsia"/>
          <w:lang w:eastAsia="zh-CN"/>
        </w:rPr>
      </w:pPr>
      <w:bookmarkStart w:id="1" w:name="_Ref211092704"/>
      <w:bookmarkStart w:id="2" w:name="_Ref211092692"/>
      <w:r>
        <w:rPr>
          <w:rFonts w:hint="eastAsia" w:asciiTheme="minorEastAsia" w:hAnsiTheme="minorEastAsia" w:eastAsiaTheme="minorEastAsia"/>
          <w:b/>
          <w:bCs/>
          <w:lang w:eastAsia="zh-CN"/>
        </w:rPr>
        <w:t xml:space="preserve">表 </w: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begin"/>
      </w:r>
      <w:r>
        <w:rPr>
          <w:rFonts w:asciiTheme="minorEastAsia" w:hAnsiTheme="minorEastAsia" w:eastAsiaTheme="minorEastAsia"/>
          <w:b/>
          <w:bCs/>
          <w:lang w:eastAsia="zh-CN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lang w:eastAsia="zh-CN"/>
        </w:rPr>
        <w:instrText xml:space="preserve">SEQ 表 \* ARABIC</w:instrText>
      </w:r>
      <w:r>
        <w:rPr>
          <w:rFonts w:asciiTheme="minorEastAsia" w:hAnsiTheme="minorEastAsia" w:eastAsiaTheme="minorEastAsia"/>
          <w:b/>
          <w:bCs/>
          <w:lang w:eastAsia="zh-CN"/>
        </w:rPr>
        <w:instrText xml:space="preserve"> </w:instrTex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separate"/>
      </w:r>
      <w:r>
        <w:rPr>
          <w:rFonts w:asciiTheme="minorEastAsia" w:hAnsiTheme="minorEastAsia" w:eastAsiaTheme="minorEastAsia"/>
          <w:b/>
          <w:bCs/>
          <w:lang w:eastAsia="zh-CN"/>
        </w:rPr>
        <w:t>3</w:t>
      </w:r>
      <w:r>
        <w:rPr>
          <w:rFonts w:asciiTheme="minorEastAsia" w:hAnsiTheme="minorEastAsia" w:eastAsiaTheme="minorEastAsia"/>
          <w:b/>
          <w:bCs/>
          <w:lang w:eastAsia="zh-CN"/>
        </w:rPr>
        <w:fldChar w:fldCharType="end"/>
      </w:r>
      <w:bookmarkEnd w:id="1"/>
      <w:r>
        <w:rPr>
          <w:rFonts w:hint="eastAsia" w:asciiTheme="minorEastAsia" w:hAnsiTheme="minorEastAsia" w:eastAsiaTheme="minorEastAsia"/>
          <w:lang w:eastAsia="zh-CN"/>
        </w:rPr>
        <w:t xml:space="preserve"> 破口实验段所需验证工况</w:t>
      </w:r>
      <w:bookmarkEnd w:id="2"/>
    </w:p>
    <w:tbl>
      <w:tblPr>
        <w:tblStyle w:val="8"/>
        <w:tblW w:w="5000" w:type="pct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03"/>
        <w:gridCol w:w="1718"/>
        <w:gridCol w:w="1549"/>
        <w:gridCol w:w="1382"/>
        <w:gridCol w:w="1546"/>
      </w:tblGrid>
      <w:tr w14:paraId="47F21AD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vMerge w:val="restar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0ABACD2C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CASE</w:t>
            </w:r>
          </w:p>
        </w:tc>
        <w:tc>
          <w:tcPr>
            <w:tcW w:w="882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B5DD266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破口直径</w:t>
            </w:r>
          </w:p>
        </w:tc>
        <w:tc>
          <w:tcPr>
            <w:tcW w:w="1008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195D5C7D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喷管长度</w:t>
            </w:r>
          </w:p>
        </w:tc>
        <w:tc>
          <w:tcPr>
            <w:tcW w:w="909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DB1DB30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入口温度</w:t>
            </w:r>
          </w:p>
        </w:tc>
        <w:tc>
          <w:tcPr>
            <w:tcW w:w="811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1B32879F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增殖区压力</w:t>
            </w:r>
          </w:p>
        </w:tc>
        <w:tc>
          <w:tcPr>
            <w:tcW w:w="907" w:type="pct"/>
            <w:tcBorders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C89A7AA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破口方向</w:t>
            </w:r>
          </w:p>
        </w:tc>
      </w:tr>
      <w:tr w14:paraId="45F3CED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DFCB480">
            <w:pPr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2A558C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mm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C4BD90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mm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4D1E2B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℃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2F38C6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MPa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45D2F7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28619A0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3552CE52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82" w:type="pct"/>
            <w:noWrap/>
          </w:tcPr>
          <w:p w14:paraId="44C1ECD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noWrap/>
          </w:tcPr>
          <w:p w14:paraId="5EA6DD4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noWrap/>
          </w:tcPr>
          <w:p w14:paraId="4283ADF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noWrap/>
          </w:tcPr>
          <w:p w14:paraId="50B6511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noWrap/>
          </w:tcPr>
          <w:p w14:paraId="7D51060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1282E66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35FDEA2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FECB4A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6DA852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8328B3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612E43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0.3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DC8FC4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621A088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42CE5A4F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82" w:type="pct"/>
            <w:noWrap/>
          </w:tcPr>
          <w:p w14:paraId="016B4E7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noWrap/>
          </w:tcPr>
          <w:p w14:paraId="0CADBC7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noWrap/>
          </w:tcPr>
          <w:p w14:paraId="0023F28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noWrap/>
          </w:tcPr>
          <w:p w14:paraId="7E1C0D7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noWrap/>
          </w:tcPr>
          <w:p w14:paraId="153D0CA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向上</w:t>
            </w:r>
          </w:p>
        </w:tc>
      </w:tr>
      <w:tr w14:paraId="4B2E083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1BC6EC6E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968FE5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0BF158C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4E7544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99847E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20A961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侧壁</w:t>
            </w:r>
          </w:p>
        </w:tc>
      </w:tr>
      <w:tr w14:paraId="402A38E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3FFD0CFA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82" w:type="pct"/>
            <w:noWrap/>
          </w:tcPr>
          <w:p w14:paraId="69E7B01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noWrap/>
          </w:tcPr>
          <w:p w14:paraId="785BDB1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09" w:type="pct"/>
            <w:noWrap/>
          </w:tcPr>
          <w:p w14:paraId="76F1E98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811" w:type="pct"/>
            <w:noWrap/>
          </w:tcPr>
          <w:p w14:paraId="39990C4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noWrap/>
          </w:tcPr>
          <w:p w14:paraId="3F79D69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646118F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ED675F3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477B84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FE657B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2BEBC3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A46D26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0.3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A01DBF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3B83FA0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7C082521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82" w:type="pct"/>
            <w:noWrap/>
          </w:tcPr>
          <w:p w14:paraId="5F855BE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noWrap/>
          </w:tcPr>
          <w:p w14:paraId="1A244D2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noWrap/>
          </w:tcPr>
          <w:p w14:paraId="7DB13BB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noWrap/>
          </w:tcPr>
          <w:p w14:paraId="134BE3A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noWrap/>
          </w:tcPr>
          <w:p w14:paraId="616A066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5C4C794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11CA8C0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382BA6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9359D1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8D76FF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BF01C7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5800BA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向上</w:t>
            </w:r>
          </w:p>
        </w:tc>
      </w:tr>
      <w:tr w14:paraId="19698EA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7CD4C685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82" w:type="pct"/>
            <w:noWrap/>
          </w:tcPr>
          <w:p w14:paraId="09D0CB9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noWrap/>
          </w:tcPr>
          <w:p w14:paraId="2A1F094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noWrap/>
          </w:tcPr>
          <w:p w14:paraId="03B446E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noWrap/>
          </w:tcPr>
          <w:p w14:paraId="36100E4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0.3</w:t>
            </w:r>
          </w:p>
        </w:tc>
        <w:tc>
          <w:tcPr>
            <w:tcW w:w="907" w:type="pct"/>
            <w:noWrap/>
          </w:tcPr>
          <w:p w14:paraId="2100091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1EEE7C2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0192413D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2DD66D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2BF7AA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6D2676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30D701B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0.3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43689A2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向下</w:t>
            </w:r>
          </w:p>
        </w:tc>
      </w:tr>
      <w:tr w14:paraId="5E8CE47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noWrap/>
          </w:tcPr>
          <w:p w14:paraId="3E1D7733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82" w:type="pct"/>
            <w:noWrap/>
          </w:tcPr>
          <w:p w14:paraId="0B72BE9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noWrap/>
          </w:tcPr>
          <w:p w14:paraId="4C0753C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09" w:type="pct"/>
            <w:noWrap/>
          </w:tcPr>
          <w:p w14:paraId="5025720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811" w:type="pct"/>
            <w:noWrap/>
          </w:tcPr>
          <w:p w14:paraId="479438A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0.1</w:t>
            </w:r>
          </w:p>
        </w:tc>
        <w:tc>
          <w:tcPr>
            <w:tcW w:w="907" w:type="pct"/>
            <w:noWrap/>
          </w:tcPr>
          <w:p w14:paraId="1C4D5A4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  <w:tr w14:paraId="5D19E21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5E260D3C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8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74D6ACB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0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AAD7E6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09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1CD690E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811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6E82C2B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0.3</w:t>
            </w:r>
          </w:p>
        </w:tc>
        <w:tc>
          <w:tcPr>
            <w:tcW w:w="90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noWrap/>
          </w:tcPr>
          <w:p w14:paraId="2973DE0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水平</w:t>
            </w:r>
          </w:p>
        </w:tc>
      </w:tr>
    </w:tbl>
    <w:p w14:paraId="4402C011">
      <w:pPr>
        <w:pStyle w:val="2"/>
        <w:numPr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工作范围</w:t>
      </w:r>
    </w:p>
    <w:p w14:paraId="78942E1F">
      <w:pPr>
        <w:pStyle w:val="3"/>
        <w:numPr>
          <w:numId w:val="0"/>
        </w:numPr>
        <w:ind w:leftChars="0"/>
      </w:pPr>
      <w:r>
        <w:rPr>
          <w:rFonts w:hint="eastAsia"/>
          <w:lang w:val="en-US" w:eastAsia="zh-CN"/>
        </w:rPr>
        <w:t>2.1</w:t>
      </w:r>
      <w:bookmarkStart w:id="3" w:name="_GoBack"/>
      <w:bookmarkEnd w:id="3"/>
      <w:r>
        <w:rPr>
          <w:rFonts w:hint="eastAsia"/>
        </w:rPr>
        <w:t>供应方责任与义务</w:t>
      </w:r>
    </w:p>
    <w:p w14:paraId="4940F3A9">
      <w:pPr>
        <w:ind w:firstLine="480"/>
        <w:rPr>
          <w:lang w:eastAsia="zh-CN"/>
        </w:rPr>
      </w:pPr>
      <w:r>
        <w:rPr>
          <w:rFonts w:hint="eastAsia"/>
          <w:lang w:eastAsia="zh-CN"/>
        </w:rPr>
        <w:t>（1）本技术规格书中所描述内容，是对供应方的基本要求，供应方应对本规范书中的各项要求全面负责。技术规格书</w:t>
      </w:r>
    </w:p>
    <w:p w14:paraId="5BD0828B">
      <w:pPr>
        <w:ind w:firstLine="480"/>
        <w:rPr>
          <w:lang w:eastAsia="zh-CN"/>
        </w:rPr>
      </w:pPr>
      <w:r>
        <w:rPr>
          <w:rFonts w:hint="eastAsia"/>
          <w:lang w:eastAsia="zh-CN"/>
        </w:rPr>
        <w:t>（2）本技术规格书并未对一切技术细节做出规定，也未充分引述有关标准和规范条文。因此，供应方除应满足本技术规格书以外，还应满足国家及行业现行标准及相关规定。</w:t>
      </w:r>
    </w:p>
    <w:p w14:paraId="692CFAC4">
      <w:pPr>
        <w:ind w:firstLine="480"/>
        <w:rPr>
          <w:lang w:eastAsia="zh-CN"/>
        </w:rPr>
      </w:pPr>
      <w:r>
        <w:rPr>
          <w:rFonts w:hint="eastAsia"/>
          <w:lang w:eastAsia="zh-CN"/>
        </w:rPr>
        <w:t>（3）供应方应对需求方提供的设计数据及文件进行审查，以确保设计的正确性。</w:t>
      </w:r>
    </w:p>
    <w:p w14:paraId="7D9D1D19">
      <w:pPr>
        <w:ind w:firstLine="480"/>
        <w:rPr>
          <w:lang w:eastAsia="zh-CN"/>
        </w:rPr>
      </w:pPr>
      <w:r>
        <w:rPr>
          <w:rFonts w:hint="eastAsia"/>
          <w:lang w:eastAsia="zh-CN"/>
        </w:rPr>
        <w:t>（4）经需求方认可的各种设计、计算、图纸、采购、施工试验和技术文件不能转移供应方对合同应负的责任。</w:t>
      </w:r>
    </w:p>
    <w:p w14:paraId="0F723781">
      <w:pPr>
        <w:ind w:firstLine="480"/>
        <w:rPr>
          <w:lang w:eastAsia="zh-CN"/>
        </w:rPr>
      </w:pPr>
      <w:r>
        <w:rPr>
          <w:rFonts w:hint="eastAsia"/>
          <w:lang w:eastAsia="zh-CN"/>
        </w:rPr>
        <w:t>（5）供应方应负责整个项目涉及的报批报建（包括压力管道、支撑结构施工等）工作，相应费用由供应方承担，并包含在合同报价内。</w:t>
      </w:r>
    </w:p>
    <w:p w14:paraId="2BC8073D">
      <w:pPr>
        <w:ind w:firstLine="480"/>
        <w:rPr>
          <w:lang w:eastAsia="zh-CN"/>
        </w:rPr>
      </w:pPr>
      <w:r>
        <w:rPr>
          <w:rFonts w:hint="eastAsia"/>
          <w:lang w:eastAsia="zh-CN"/>
        </w:rPr>
        <w:t>（6）供应方在项目系统设计、物项采购、施工调试过程中出现的任何不符合项或问题均应作详细记录，并及时书面通知需求方。经需求方认可的不符合项或其它问题，不能转移供应方应负的责任。</w:t>
      </w:r>
    </w:p>
    <w:p w14:paraId="33CA6B8E">
      <w:pPr>
        <w:ind w:firstLine="480"/>
        <w:rPr>
          <w:lang w:eastAsia="zh-CN"/>
        </w:rPr>
      </w:pPr>
      <w:r>
        <w:rPr>
          <w:rFonts w:hint="eastAsia"/>
          <w:lang w:eastAsia="zh-CN"/>
        </w:rPr>
        <w:t>（7）在执行本技术规格书的过程中，供应方在做出任何改变之前，均须书面通知需求方，在取得同意后，方可实施。</w:t>
      </w:r>
    </w:p>
    <w:p w14:paraId="778CE97E">
      <w:pPr>
        <w:ind w:firstLine="480"/>
        <w:rPr>
          <w:lang w:eastAsia="zh-CN"/>
        </w:rPr>
      </w:pPr>
      <w:r>
        <w:rPr>
          <w:rFonts w:hint="eastAsia"/>
          <w:lang w:eastAsia="zh-CN"/>
        </w:rPr>
        <w:t>（8）需求方提供的图纸及技术文件，供应方未经允许不得私自利用或转让给第三方。</w:t>
      </w:r>
    </w:p>
    <w:p w14:paraId="3BB8400C">
      <w:pPr>
        <w:ind w:firstLine="480"/>
        <w:rPr>
          <w:lang w:eastAsia="zh-CN"/>
        </w:rPr>
      </w:pPr>
      <w:r>
        <w:rPr>
          <w:rFonts w:hint="eastAsia"/>
          <w:lang w:eastAsia="zh-CN"/>
        </w:rPr>
        <w:t>（9）在合同签订后，需求方保留对技术规格书提出补充和修改的权利，供应方应予以配合，若导致费用额外增加需要由双方协商解决。</w:t>
      </w:r>
    </w:p>
    <w:p w14:paraId="6F873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F0BED"/>
    <w:multiLevelType w:val="multilevel"/>
    <w:tmpl w:val="3E4F0BED"/>
    <w:lvl w:ilvl="0" w:tentative="0">
      <w:start w:val="1"/>
      <w:numFmt w:val="decimal"/>
      <w:pStyle w:val="2"/>
      <w:suff w:val="space"/>
      <w:lvlText w:val="%1."/>
      <w:lvlJc w:val="left"/>
      <w:pPr>
        <w:ind w:left="420" w:hanging="420"/>
      </w:pPr>
      <w:rPr>
        <w:rFonts w:hint="eastAsia"/>
        <w:b/>
        <w:i w:val="0"/>
        <w:sz w:val="3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0" w:hanging="420"/>
      </w:pPr>
      <w:rPr>
        <w:rFonts w:hint="eastAsia"/>
        <w:b/>
        <w:i w:val="0"/>
        <w:sz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420" w:hanging="420"/>
      </w:pPr>
      <w:rPr>
        <w:rFonts w:hint="eastAsia"/>
        <w:b/>
        <w:i w:val="0"/>
        <w:sz w:val="26"/>
      </w:rPr>
    </w:lvl>
    <w:lvl w:ilvl="3" w:tentative="0">
      <w:start w:val="1"/>
      <w:numFmt w:val="none"/>
      <w:isLgl/>
      <w:lvlText w:val="1.1.1.1"/>
      <w:lvlJc w:val="left"/>
      <w:pPr>
        <w:ind w:left="1680" w:hanging="420"/>
      </w:pPr>
      <w:rPr>
        <w:rFonts w:hint="default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03B43"/>
    <w:rsid w:val="63D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 w:eastAsiaTheme="maj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 w:firstLineChars="0"/>
      <w:outlineLvl w:val="0"/>
    </w:pPr>
    <w:rPr>
      <w:rFonts w:eastAsiaTheme="minorEastAsia" w:cstheme="minorHAnsi"/>
      <w:b/>
      <w:sz w:val="28"/>
      <w:lang w:eastAsia="zh-CN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outlineLvl w:val="1"/>
    </w:pPr>
    <w:rPr>
      <w:szCs w:val="28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ind w:left="0" w:firstLine="0" w:firstLineChars="0"/>
      <w:outlineLvl w:val="2"/>
    </w:pPr>
    <w:rPr>
      <w:rFonts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rPr>
      <w:rFonts w:eastAsia="宋体" w:cstheme="majorBidi"/>
      <w:sz w:val="20"/>
      <w:szCs w:val="20"/>
    </w:rPr>
  </w:style>
  <w:style w:type="table" w:customStyle="1" w:styleId="8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2026-01-21T07:53:00Z</dcterms:created>
  <dc:creator>宋方方</dc:creator>
  <cp:lastModifiedBy>宋方方</cp:lastModifiedBy>
  <dcterms:modified xsi:type="dcterms:W3CDTF">2026-01-21T07:54:47Z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75FF125A2CE54DC0B97F123399DF0397_11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