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5943" w14:textId="77777777" w:rsidR="004A35E2" w:rsidRPr="004A35E2" w:rsidRDefault="004A35E2" w:rsidP="004A35E2">
      <w:pPr>
        <w:pStyle w:val="1"/>
        <w:tabs>
          <w:tab w:val="left" w:pos="5162"/>
        </w:tabs>
        <w:jc w:val="center"/>
        <w:rPr>
          <w:rFonts w:ascii="宋体" w:eastAsia="宋体" w:hAnsi="宋体" w:hint="eastAsia"/>
          <w:b/>
          <w:bCs/>
          <w:color w:val="000000" w:themeColor="text1"/>
          <w:sz w:val="52"/>
          <w:szCs w:val="52"/>
        </w:rPr>
      </w:pPr>
      <w:bookmarkStart w:id="0" w:name="_Hlk202192916"/>
      <w:r w:rsidRPr="004A35E2">
        <w:rPr>
          <w:rFonts w:ascii="宋体" w:eastAsia="宋体" w:hAnsi="宋体" w:hint="eastAsia"/>
          <w:b/>
          <w:bCs/>
          <w:color w:val="000000" w:themeColor="text1"/>
          <w:sz w:val="52"/>
          <w:szCs w:val="52"/>
        </w:rPr>
        <w:t>第七章 采购</w:t>
      </w:r>
      <w:r w:rsidRPr="004A35E2">
        <w:rPr>
          <w:rFonts w:ascii="宋体" w:eastAsia="宋体" w:hAnsi="宋体"/>
          <w:b/>
          <w:bCs/>
          <w:color w:val="000000" w:themeColor="text1"/>
          <w:sz w:val="52"/>
          <w:szCs w:val="52"/>
        </w:rPr>
        <w:t>需求</w:t>
      </w:r>
    </w:p>
    <w:p w14:paraId="48401D9B" w14:textId="77777777" w:rsidR="004A35E2" w:rsidRDefault="004A35E2" w:rsidP="004A35E2">
      <w:pPr>
        <w:jc w:val="left"/>
        <w:rPr>
          <w:rFonts w:ascii="宋体" w:hAnsi="宋体" w:hint="eastAsia"/>
          <w:b/>
          <w:color w:val="000000"/>
        </w:rPr>
      </w:pPr>
    </w:p>
    <w:p w14:paraId="5EBC9AF9" w14:textId="77777777" w:rsidR="004A35E2" w:rsidRDefault="004A35E2" w:rsidP="004A35E2">
      <w:pPr>
        <w:numPr>
          <w:ilvl w:val="0"/>
          <w:numId w:val="1"/>
        </w:numPr>
        <w:adjustRightInd w:val="0"/>
        <w:snapToGrid w:val="0"/>
        <w:spacing w:beforeLines="50" w:before="120"/>
        <w:rPr>
          <w:rFonts w:ascii="宋体" w:hAnsi="宋体" w:cs="Arial" w:hint="eastAsia"/>
          <w:b/>
          <w:color w:val="000000"/>
          <w:sz w:val="24"/>
        </w:rPr>
      </w:pPr>
      <w:r>
        <w:rPr>
          <w:rFonts w:ascii="宋体" w:hAnsi="宋体" w:cs="Arial"/>
          <w:b/>
          <w:color w:val="000000"/>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019"/>
        <w:gridCol w:w="1134"/>
        <w:gridCol w:w="1758"/>
        <w:gridCol w:w="1790"/>
      </w:tblGrid>
      <w:tr w:rsidR="00456F0B" w:rsidRPr="00456F0B" w14:paraId="159AC63E" w14:textId="77777777" w:rsidTr="00456F0B">
        <w:trPr>
          <w:jc w:val="center"/>
        </w:trPr>
        <w:tc>
          <w:tcPr>
            <w:tcW w:w="804" w:type="dxa"/>
            <w:vAlign w:val="center"/>
          </w:tcPr>
          <w:p w14:paraId="0492303B" w14:textId="77777777" w:rsidR="004A35E2" w:rsidRPr="00456F0B" w:rsidRDefault="004A35E2" w:rsidP="00B16809">
            <w:pPr>
              <w:adjustRightInd w:val="0"/>
              <w:snapToGrid w:val="0"/>
              <w:jc w:val="center"/>
              <w:rPr>
                <w:rFonts w:ascii="宋体" w:hAnsi="宋体" w:hint="eastAsia"/>
                <w:b/>
                <w:bCs/>
                <w:color w:val="000000" w:themeColor="text1"/>
                <w:sz w:val="24"/>
              </w:rPr>
            </w:pPr>
            <w:r w:rsidRPr="00456F0B">
              <w:rPr>
                <w:rFonts w:ascii="宋体" w:hAnsi="宋体" w:hint="eastAsia"/>
                <w:b/>
                <w:bCs/>
                <w:color w:val="000000" w:themeColor="text1"/>
                <w:sz w:val="24"/>
              </w:rPr>
              <w:t>序号</w:t>
            </w:r>
          </w:p>
        </w:tc>
        <w:tc>
          <w:tcPr>
            <w:tcW w:w="3019" w:type="dxa"/>
            <w:vAlign w:val="center"/>
          </w:tcPr>
          <w:p w14:paraId="7750FEE1" w14:textId="77777777" w:rsidR="004A35E2" w:rsidRPr="00456F0B" w:rsidRDefault="004A35E2" w:rsidP="00B16809">
            <w:pPr>
              <w:adjustRightInd w:val="0"/>
              <w:snapToGrid w:val="0"/>
              <w:jc w:val="center"/>
              <w:rPr>
                <w:rFonts w:ascii="宋体" w:hAnsi="宋体" w:hint="eastAsia"/>
                <w:b/>
                <w:bCs/>
                <w:color w:val="000000" w:themeColor="text1"/>
                <w:sz w:val="24"/>
              </w:rPr>
            </w:pPr>
            <w:r w:rsidRPr="00456F0B">
              <w:rPr>
                <w:rFonts w:ascii="宋体" w:hAnsi="宋体" w:hint="eastAsia"/>
                <w:b/>
                <w:bCs/>
                <w:color w:val="000000" w:themeColor="text1"/>
                <w:sz w:val="24"/>
              </w:rPr>
              <w:t>货物名称</w:t>
            </w:r>
          </w:p>
        </w:tc>
        <w:tc>
          <w:tcPr>
            <w:tcW w:w="1134" w:type="dxa"/>
            <w:vAlign w:val="center"/>
          </w:tcPr>
          <w:p w14:paraId="794EE775" w14:textId="77777777" w:rsidR="004A35E2" w:rsidRPr="00456F0B" w:rsidRDefault="004A35E2" w:rsidP="00B16809">
            <w:pPr>
              <w:adjustRightInd w:val="0"/>
              <w:snapToGrid w:val="0"/>
              <w:jc w:val="center"/>
              <w:rPr>
                <w:rFonts w:ascii="宋体" w:hAnsi="宋体" w:hint="eastAsia"/>
                <w:b/>
                <w:bCs/>
                <w:color w:val="000000" w:themeColor="text1"/>
                <w:sz w:val="24"/>
              </w:rPr>
            </w:pPr>
            <w:r w:rsidRPr="00456F0B">
              <w:rPr>
                <w:rFonts w:ascii="宋体" w:hAnsi="宋体" w:hint="eastAsia"/>
                <w:b/>
                <w:bCs/>
                <w:color w:val="000000" w:themeColor="text1"/>
                <w:sz w:val="24"/>
              </w:rPr>
              <w:t>数量</w:t>
            </w:r>
          </w:p>
        </w:tc>
        <w:tc>
          <w:tcPr>
            <w:tcW w:w="1758" w:type="dxa"/>
            <w:vAlign w:val="center"/>
          </w:tcPr>
          <w:p w14:paraId="63127F18" w14:textId="77777777" w:rsidR="004A35E2" w:rsidRPr="00456F0B" w:rsidRDefault="004A35E2" w:rsidP="00B16809">
            <w:pPr>
              <w:adjustRightInd w:val="0"/>
              <w:snapToGrid w:val="0"/>
              <w:jc w:val="center"/>
              <w:rPr>
                <w:rFonts w:ascii="宋体" w:hAnsi="宋体" w:hint="eastAsia"/>
                <w:b/>
                <w:bCs/>
                <w:color w:val="000000" w:themeColor="text1"/>
                <w:sz w:val="24"/>
              </w:rPr>
            </w:pPr>
            <w:r w:rsidRPr="00456F0B">
              <w:rPr>
                <w:rFonts w:ascii="宋体" w:hAnsi="宋体" w:hint="eastAsia"/>
                <w:b/>
                <w:bCs/>
                <w:color w:val="000000" w:themeColor="text1"/>
                <w:sz w:val="24"/>
              </w:rPr>
              <w:t>预算（万元）</w:t>
            </w:r>
          </w:p>
        </w:tc>
        <w:tc>
          <w:tcPr>
            <w:tcW w:w="1790" w:type="dxa"/>
            <w:vAlign w:val="center"/>
          </w:tcPr>
          <w:p w14:paraId="57A2A4D8" w14:textId="77777777" w:rsidR="004A35E2" w:rsidRPr="00456F0B" w:rsidRDefault="004A35E2" w:rsidP="00B16809">
            <w:pPr>
              <w:adjustRightInd w:val="0"/>
              <w:snapToGrid w:val="0"/>
              <w:jc w:val="center"/>
              <w:rPr>
                <w:rFonts w:ascii="宋体" w:hAnsi="宋体" w:hint="eastAsia"/>
                <w:b/>
                <w:bCs/>
                <w:color w:val="000000" w:themeColor="text1"/>
                <w:sz w:val="24"/>
              </w:rPr>
            </w:pPr>
            <w:r w:rsidRPr="00456F0B">
              <w:rPr>
                <w:rFonts w:ascii="宋体" w:hAnsi="宋体" w:hint="eastAsia"/>
                <w:b/>
                <w:bCs/>
                <w:color w:val="000000" w:themeColor="text1"/>
                <w:sz w:val="24"/>
              </w:rPr>
              <w:t>交货期</w:t>
            </w:r>
          </w:p>
        </w:tc>
      </w:tr>
      <w:tr w:rsidR="00456F0B" w:rsidRPr="00456F0B" w14:paraId="356B5F73" w14:textId="77777777" w:rsidTr="00456F0B">
        <w:trPr>
          <w:trHeight w:val="331"/>
          <w:jc w:val="center"/>
        </w:trPr>
        <w:tc>
          <w:tcPr>
            <w:tcW w:w="804" w:type="dxa"/>
            <w:vAlign w:val="center"/>
          </w:tcPr>
          <w:p w14:paraId="6DB3EED8" w14:textId="77777777" w:rsidR="004A35E2" w:rsidRPr="00456F0B" w:rsidRDefault="004A35E2" w:rsidP="00B16809">
            <w:pPr>
              <w:adjustRightInd w:val="0"/>
              <w:snapToGrid w:val="0"/>
              <w:jc w:val="center"/>
              <w:rPr>
                <w:rFonts w:ascii="宋体" w:hAnsi="宋体" w:hint="eastAsia"/>
                <w:color w:val="000000" w:themeColor="text1"/>
                <w:sz w:val="24"/>
              </w:rPr>
            </w:pPr>
            <w:r w:rsidRPr="00456F0B">
              <w:rPr>
                <w:rFonts w:ascii="宋体" w:hAnsi="宋体" w:hint="eastAsia"/>
                <w:color w:val="000000" w:themeColor="text1"/>
                <w:sz w:val="24"/>
              </w:rPr>
              <w:t>1</w:t>
            </w:r>
          </w:p>
        </w:tc>
        <w:tc>
          <w:tcPr>
            <w:tcW w:w="3019" w:type="dxa"/>
            <w:vAlign w:val="center"/>
          </w:tcPr>
          <w:p w14:paraId="2ADEC8C2" w14:textId="77777777" w:rsidR="004A35E2" w:rsidRPr="00456F0B" w:rsidRDefault="004A35E2" w:rsidP="00B16809">
            <w:pPr>
              <w:adjustRightInd w:val="0"/>
              <w:snapToGrid w:val="0"/>
              <w:jc w:val="center"/>
              <w:rPr>
                <w:rFonts w:ascii="宋体" w:hAnsi="宋体" w:hint="eastAsia"/>
                <w:color w:val="000000" w:themeColor="text1"/>
                <w:sz w:val="24"/>
              </w:rPr>
            </w:pPr>
            <w:r w:rsidRPr="00456F0B">
              <w:rPr>
                <w:rFonts w:ascii="宋体" w:hAnsi="宋体" w:cs="宋体" w:hint="eastAsia"/>
                <w:color w:val="000000" w:themeColor="text1"/>
                <w:sz w:val="24"/>
              </w:rPr>
              <w:t>天线转动机构单元预研</w:t>
            </w:r>
          </w:p>
        </w:tc>
        <w:tc>
          <w:tcPr>
            <w:tcW w:w="1134" w:type="dxa"/>
            <w:vAlign w:val="center"/>
          </w:tcPr>
          <w:p w14:paraId="3FC890B8" w14:textId="77777777" w:rsidR="004A35E2" w:rsidRPr="00456F0B" w:rsidRDefault="004A35E2" w:rsidP="00B16809">
            <w:pPr>
              <w:adjustRightInd w:val="0"/>
              <w:snapToGrid w:val="0"/>
              <w:jc w:val="center"/>
              <w:rPr>
                <w:rFonts w:ascii="宋体" w:hAnsi="宋体" w:hint="eastAsia"/>
                <w:color w:val="000000" w:themeColor="text1"/>
                <w:sz w:val="24"/>
              </w:rPr>
            </w:pPr>
            <w:r w:rsidRPr="00456F0B">
              <w:rPr>
                <w:rFonts w:ascii="宋体" w:hAnsi="宋体" w:hint="eastAsia"/>
                <w:color w:val="000000" w:themeColor="text1"/>
                <w:sz w:val="24"/>
              </w:rPr>
              <w:t>1套</w:t>
            </w:r>
          </w:p>
        </w:tc>
        <w:tc>
          <w:tcPr>
            <w:tcW w:w="1758" w:type="dxa"/>
            <w:vAlign w:val="center"/>
          </w:tcPr>
          <w:p w14:paraId="0C64BF4F" w14:textId="330E56AC" w:rsidR="004A35E2" w:rsidRPr="00456F0B" w:rsidRDefault="008570E9" w:rsidP="00B16809">
            <w:pPr>
              <w:adjustRightInd w:val="0"/>
              <w:snapToGrid w:val="0"/>
              <w:jc w:val="center"/>
              <w:rPr>
                <w:rFonts w:ascii="宋体" w:hAnsi="宋体" w:hint="eastAsia"/>
                <w:color w:val="000000" w:themeColor="text1"/>
                <w:sz w:val="24"/>
              </w:rPr>
            </w:pPr>
            <w:r>
              <w:rPr>
                <w:rFonts w:ascii="宋体" w:hAnsi="宋体" w:hint="eastAsia"/>
                <w:color w:val="000000" w:themeColor="text1"/>
                <w:sz w:val="24"/>
              </w:rPr>
              <w:t>85</w:t>
            </w:r>
          </w:p>
        </w:tc>
        <w:tc>
          <w:tcPr>
            <w:tcW w:w="1790" w:type="dxa"/>
            <w:vAlign w:val="center"/>
          </w:tcPr>
          <w:p w14:paraId="100BF2B9" w14:textId="77777777" w:rsidR="004A35E2" w:rsidRPr="00456F0B" w:rsidRDefault="004A35E2" w:rsidP="00B16809">
            <w:pPr>
              <w:adjustRightInd w:val="0"/>
              <w:snapToGrid w:val="0"/>
              <w:jc w:val="center"/>
              <w:rPr>
                <w:rFonts w:ascii="宋体" w:hAnsi="宋体" w:hint="eastAsia"/>
                <w:color w:val="000000" w:themeColor="text1"/>
                <w:sz w:val="24"/>
              </w:rPr>
            </w:pPr>
            <w:r w:rsidRPr="00456F0B">
              <w:rPr>
                <w:rFonts w:ascii="宋体" w:hAnsi="宋体" w:hint="eastAsia"/>
                <w:color w:val="000000" w:themeColor="text1"/>
                <w:sz w:val="24"/>
              </w:rPr>
              <w:t>7个月</w:t>
            </w:r>
          </w:p>
        </w:tc>
      </w:tr>
    </w:tbl>
    <w:p w14:paraId="73399A1D" w14:textId="77777777" w:rsidR="004A35E2" w:rsidRPr="00456F0B" w:rsidRDefault="004A35E2" w:rsidP="004A35E2">
      <w:pPr>
        <w:numPr>
          <w:ilvl w:val="0"/>
          <w:numId w:val="1"/>
        </w:numPr>
        <w:adjustRightInd w:val="0"/>
        <w:snapToGrid w:val="0"/>
        <w:spacing w:beforeLines="50" w:before="120"/>
        <w:rPr>
          <w:rFonts w:ascii="宋体" w:hAnsi="宋体" w:cs="Arial" w:hint="eastAsia"/>
          <w:b/>
          <w:color w:val="000000" w:themeColor="text1"/>
          <w:sz w:val="24"/>
        </w:rPr>
      </w:pPr>
      <w:r w:rsidRPr="00456F0B">
        <w:rPr>
          <w:rFonts w:ascii="宋体" w:hAnsi="宋体" w:cs="Arial"/>
          <w:b/>
          <w:color w:val="000000" w:themeColor="text1"/>
          <w:sz w:val="24"/>
        </w:rPr>
        <w:t>设备的主要用途及功能</w:t>
      </w:r>
    </w:p>
    <w:p w14:paraId="03DA347D" w14:textId="77777777" w:rsidR="004A35E2" w:rsidRDefault="004A35E2" w:rsidP="004A35E2">
      <w:pPr>
        <w:adjustRightInd w:val="0"/>
        <w:snapToGrid w:val="0"/>
        <w:spacing w:beforeLines="50" w:before="120" w:line="360" w:lineRule="auto"/>
        <w:ind w:firstLine="420"/>
        <w:rPr>
          <w:sz w:val="24"/>
        </w:rPr>
      </w:pPr>
      <w:r>
        <w:rPr>
          <w:rFonts w:hint="eastAsia"/>
          <w:sz w:val="24"/>
        </w:rPr>
        <w:t>转动机构单元是</w:t>
      </w:r>
      <w:r>
        <w:rPr>
          <w:rFonts w:hint="eastAsia"/>
          <w:sz w:val="24"/>
        </w:rPr>
        <w:t>ECRH</w:t>
      </w:r>
      <w:r>
        <w:rPr>
          <w:rFonts w:hint="eastAsia"/>
          <w:sz w:val="24"/>
        </w:rPr>
        <w:t>发射天线必不可少的关键组成单元，负责将高功率毫米波能量按照物理需求以一定的转动角度馈入到指定的沉积位置。</w:t>
      </w:r>
    </w:p>
    <w:p w14:paraId="651C4CE4" w14:textId="77777777" w:rsidR="004A35E2" w:rsidRDefault="004A35E2" w:rsidP="004A35E2">
      <w:pPr>
        <w:adjustRightInd w:val="0"/>
        <w:snapToGrid w:val="0"/>
        <w:spacing w:beforeLines="50" w:before="120" w:line="360" w:lineRule="auto"/>
        <w:ind w:firstLine="420"/>
        <w:rPr>
          <w:sz w:val="24"/>
        </w:rPr>
      </w:pPr>
      <w:r>
        <w:rPr>
          <w:rFonts w:hint="eastAsia"/>
          <w:sz w:val="24"/>
        </w:rPr>
        <w:t>BEST ECRH</w:t>
      </w:r>
      <w:r>
        <w:rPr>
          <w:rFonts w:hint="eastAsia"/>
          <w:sz w:val="24"/>
        </w:rPr>
        <w:t>天线属于内真空室器件，受到核辐射、热辐射及电磁辐射等，因此转动机构的工程设计方案中，机械结构不仅要满足物理实验提出的角度扫描需求，同时需要满足如此恶劣环境中的各种耐辐射和真空密封性能。转动机构的角度扫描范围和转动精度直接与物理需求相关，决定着</w:t>
      </w:r>
      <w:r>
        <w:rPr>
          <w:rFonts w:hint="eastAsia"/>
          <w:sz w:val="24"/>
        </w:rPr>
        <w:t>ECRH</w:t>
      </w:r>
      <w:r>
        <w:rPr>
          <w:rFonts w:hint="eastAsia"/>
          <w:sz w:val="24"/>
        </w:rPr>
        <w:t>系统能否满足物理实验需求，因此对转动精度的指标参数测试至关重要。同时转动机构是整个天线中最脆弱的部件，因此需要通过开展多轮破坏性疲劳测试来评估寿命周期。另外，为了便于转动机构单元的安装维护和满足未来遥操作维护需求，转动机构以单元模块化结构整体安装于天线密封法兰。转动机构单元充满水路，整体水冷结构复杂，需要验证承受</w:t>
      </w:r>
      <w:r>
        <w:rPr>
          <w:rFonts w:hint="eastAsia"/>
          <w:sz w:val="24"/>
        </w:rPr>
        <w:t>5MPa</w:t>
      </w:r>
      <w:r>
        <w:rPr>
          <w:rFonts w:hint="eastAsia"/>
          <w:sz w:val="24"/>
        </w:rPr>
        <w:t>水压的能力和冷却性能，并满足真空密封要求。</w:t>
      </w:r>
    </w:p>
    <w:p w14:paraId="09BEAA7D" w14:textId="77777777" w:rsidR="004A35E2" w:rsidRDefault="004A35E2" w:rsidP="004A35E2">
      <w:pPr>
        <w:numPr>
          <w:ilvl w:val="0"/>
          <w:numId w:val="1"/>
        </w:numPr>
        <w:adjustRightInd w:val="0"/>
        <w:snapToGrid w:val="0"/>
        <w:spacing w:beforeLines="50" w:before="120"/>
        <w:rPr>
          <w:rFonts w:ascii="宋体" w:hAnsi="宋体" w:cs="Arial" w:hint="eastAsia"/>
          <w:b/>
          <w:color w:val="000000"/>
          <w:sz w:val="24"/>
        </w:rPr>
      </w:pPr>
      <w:r>
        <w:rPr>
          <w:rFonts w:ascii="宋体" w:hAnsi="宋体" w:cs="Arial"/>
          <w:b/>
          <w:color w:val="000000"/>
          <w:sz w:val="24"/>
        </w:rPr>
        <w:t>工作条件</w:t>
      </w:r>
    </w:p>
    <w:p w14:paraId="729F20D9" w14:textId="77777777" w:rsidR="004A35E2" w:rsidRDefault="004A35E2" w:rsidP="004A35E2">
      <w:pPr>
        <w:numPr>
          <w:ilvl w:val="0"/>
          <w:numId w:val="2"/>
        </w:numPr>
        <w:adjustRightInd w:val="0"/>
        <w:snapToGrid w:val="0"/>
        <w:spacing w:beforeLines="50" w:before="120"/>
        <w:rPr>
          <w:rFonts w:ascii="宋体" w:hAnsi="宋体" w:cs="Arial" w:hint="eastAsia"/>
          <w:bCs/>
          <w:color w:val="000000"/>
          <w:sz w:val="24"/>
        </w:rPr>
      </w:pPr>
      <w:r>
        <w:rPr>
          <w:rFonts w:ascii="宋体" w:hAnsi="宋体" w:cs="Arial" w:hint="eastAsia"/>
          <w:bCs/>
          <w:color w:val="000000"/>
          <w:sz w:val="24"/>
        </w:rPr>
        <w:t>真空漏率：</w:t>
      </w:r>
      <w:r>
        <w:rPr>
          <w:rFonts w:ascii="宋体" w:hAnsi="宋体" w:cs="宋体" w:hint="eastAsia"/>
          <w:color w:val="000000"/>
          <w:sz w:val="24"/>
        </w:rPr>
        <w:t>≤5× 10</w:t>
      </w:r>
      <w:r>
        <w:rPr>
          <w:rFonts w:ascii="宋体" w:hAnsi="宋体" w:cs="宋体" w:hint="eastAsia"/>
          <w:color w:val="000000"/>
          <w:sz w:val="24"/>
          <w:vertAlign w:val="superscript"/>
        </w:rPr>
        <w:t>-10</w:t>
      </w:r>
      <w:r>
        <w:rPr>
          <w:rFonts w:ascii="宋体" w:hAnsi="宋体" w:cs="宋体" w:hint="eastAsia"/>
          <w:color w:val="000000"/>
          <w:sz w:val="24"/>
        </w:rPr>
        <w:t xml:space="preserve"> Pa∙m</w:t>
      </w:r>
      <w:r>
        <w:rPr>
          <w:rFonts w:ascii="宋体" w:hAnsi="宋体" w:cs="宋体" w:hint="eastAsia"/>
          <w:color w:val="000000"/>
          <w:sz w:val="24"/>
          <w:vertAlign w:val="superscript"/>
        </w:rPr>
        <w:t>3</w:t>
      </w:r>
      <w:r>
        <w:rPr>
          <w:rFonts w:ascii="宋体" w:hAnsi="宋体" w:cs="宋体" w:hint="eastAsia"/>
          <w:color w:val="000000"/>
          <w:sz w:val="24"/>
        </w:rPr>
        <w:t>/s</w:t>
      </w:r>
    </w:p>
    <w:p w14:paraId="5DBC21D0" w14:textId="77777777" w:rsidR="004A35E2" w:rsidRDefault="004A35E2" w:rsidP="004A35E2">
      <w:pPr>
        <w:numPr>
          <w:ilvl w:val="0"/>
          <w:numId w:val="2"/>
        </w:numPr>
        <w:adjustRightInd w:val="0"/>
        <w:snapToGrid w:val="0"/>
        <w:spacing w:beforeLines="50" w:before="120"/>
        <w:rPr>
          <w:rFonts w:ascii="宋体" w:hAnsi="宋体" w:cs="Arial" w:hint="eastAsia"/>
          <w:bCs/>
          <w:color w:val="000000"/>
          <w:sz w:val="24"/>
        </w:rPr>
      </w:pPr>
      <w:r>
        <w:rPr>
          <w:rFonts w:ascii="宋体" w:hAnsi="宋体" w:cs="Arial" w:hint="eastAsia"/>
          <w:bCs/>
          <w:color w:val="000000"/>
          <w:sz w:val="24"/>
        </w:rPr>
        <w:t>冷却水入口压力：</w:t>
      </w:r>
      <w:r>
        <w:rPr>
          <w:rFonts w:hint="eastAsia"/>
          <w:sz w:val="24"/>
        </w:rPr>
        <w:t>5 MPa</w:t>
      </w:r>
    </w:p>
    <w:p w14:paraId="156A0181" w14:textId="77777777" w:rsidR="004A35E2" w:rsidRDefault="004A35E2" w:rsidP="004A35E2">
      <w:pPr>
        <w:adjustRightInd w:val="0"/>
        <w:snapToGrid w:val="0"/>
        <w:spacing w:beforeLines="50" w:before="120"/>
        <w:rPr>
          <w:rFonts w:ascii="宋体" w:hAnsi="宋体" w:cs="Arial" w:hint="eastAsia"/>
          <w:b/>
          <w:color w:val="000000"/>
          <w:sz w:val="24"/>
        </w:rPr>
      </w:pPr>
    </w:p>
    <w:p w14:paraId="1EC87CA5" w14:textId="77777777" w:rsidR="004A35E2" w:rsidRDefault="004A35E2" w:rsidP="004A35E2">
      <w:pPr>
        <w:numPr>
          <w:ilvl w:val="0"/>
          <w:numId w:val="3"/>
        </w:numPr>
        <w:adjustRightInd w:val="0"/>
        <w:snapToGrid w:val="0"/>
        <w:spacing w:beforeLines="50" w:before="120"/>
        <w:ind w:left="505" w:hanging="505"/>
        <w:rPr>
          <w:rFonts w:ascii="宋体" w:hAnsi="宋体" w:cs="Arial" w:hint="eastAsia"/>
          <w:b/>
          <w:color w:val="000000"/>
          <w:sz w:val="24"/>
        </w:rPr>
      </w:pPr>
      <w:r>
        <w:rPr>
          <w:rFonts w:ascii="宋体" w:hAnsi="宋体" w:cs="Arial" w:hint="eastAsia"/>
          <w:b/>
          <w:color w:val="000000"/>
          <w:sz w:val="24"/>
        </w:rPr>
        <w:t>主要技术指标</w:t>
      </w:r>
    </w:p>
    <w:p w14:paraId="0C62840F"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hint="eastAsia"/>
          <w:bCs/>
          <w:color w:val="000000"/>
          <w:sz w:val="24"/>
        </w:rPr>
      </w:pPr>
      <w:r>
        <w:rPr>
          <w:rFonts w:ascii="宋体" w:hAnsi="宋体" w:cs="Arial" w:hint="eastAsia"/>
          <w:bCs/>
          <w:color w:val="000000"/>
          <w:sz w:val="24"/>
        </w:rPr>
        <w:t>在下图1所示的单元尺寸范围内完成转动机构单元的机械设计，转动镜的尺寸和转动角度范围由甲方提供，乙方根据要求完成可行的转动镜驱动机构机械设计。图1所示的天线转动机构单元满足以下设计输入要求：</w:t>
      </w:r>
    </w:p>
    <w:p w14:paraId="3A70FD2E"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t>动力驱动需要满足温度（200℃）、场强（1.5T）、辐射（10</w:t>
      </w:r>
      <w:r>
        <w:rPr>
          <w:rFonts w:hint="eastAsia"/>
          <w:color w:val="000000"/>
          <w:sz w:val="21"/>
          <w:szCs w:val="21"/>
          <w:vertAlign w:val="superscript"/>
        </w:rPr>
        <w:t>7</w:t>
      </w:r>
      <w:r>
        <w:rPr>
          <w:rFonts w:hint="eastAsia"/>
          <w:color w:val="000000"/>
          <w:sz w:val="21"/>
          <w:szCs w:val="21"/>
        </w:rPr>
        <w:t>Gy）条件下工作</w:t>
      </w:r>
    </w:p>
    <w:p w14:paraId="1BAD9D5D"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t>单元整体均为水冷结构，通体设计水冷通道。法兰端面为一进、一出两条进出水口，冷却水入口水温70℃、入口压力5MPa</w:t>
      </w:r>
    </w:p>
    <w:p w14:paraId="6E7AAF7B"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t>材料选取需满足聚变堆条件下使用工况，特别是密封和动态部件的材料选取</w:t>
      </w:r>
    </w:p>
    <w:p w14:paraId="73AAF273" w14:textId="77777777" w:rsidR="004A35E2" w:rsidRDefault="004A35E2" w:rsidP="004A35E2">
      <w:pPr>
        <w:adjustRightInd w:val="0"/>
        <w:snapToGrid w:val="0"/>
        <w:spacing w:beforeLines="50" w:before="120" w:line="360" w:lineRule="auto"/>
        <w:rPr>
          <w:rFonts w:ascii="宋体" w:hAnsi="宋体" w:cs="Arial" w:hint="eastAsia"/>
          <w:bCs/>
          <w:color w:val="000000"/>
          <w:sz w:val="24"/>
        </w:rPr>
      </w:pPr>
    </w:p>
    <w:p w14:paraId="00240DDB" w14:textId="5C8DF1BE" w:rsidR="004A35E2" w:rsidRDefault="004A35E2" w:rsidP="004A35E2">
      <w:pPr>
        <w:adjustRightInd w:val="0"/>
        <w:snapToGrid w:val="0"/>
        <w:spacing w:beforeLines="50" w:before="120" w:line="360" w:lineRule="auto"/>
        <w:jc w:val="center"/>
      </w:pPr>
      <w:r>
        <w:rPr>
          <w:noProof/>
        </w:rPr>
        <w:lastRenderedPageBreak/>
        <w:drawing>
          <wp:inline distT="0" distB="0" distL="0" distR="0" wp14:anchorId="4F416C94" wp14:editId="28E2998F">
            <wp:extent cx="5943600" cy="2514600"/>
            <wp:effectExtent l="0" t="0" r="0" b="0"/>
            <wp:docPr id="5107842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02344994" w14:textId="77777777" w:rsidR="004A35E2" w:rsidRDefault="004A35E2" w:rsidP="004A35E2">
      <w:pPr>
        <w:adjustRightInd w:val="0"/>
        <w:snapToGrid w:val="0"/>
        <w:spacing w:beforeLines="50" w:before="120" w:line="360" w:lineRule="auto"/>
        <w:jc w:val="center"/>
      </w:pPr>
      <w:r>
        <w:rPr>
          <w:rFonts w:hint="eastAsia"/>
        </w:rPr>
        <w:t>图</w:t>
      </w:r>
      <w:r>
        <w:rPr>
          <w:rFonts w:hint="eastAsia"/>
        </w:rPr>
        <w:t xml:space="preserve">1 </w:t>
      </w:r>
      <w:r>
        <w:rPr>
          <w:rFonts w:hint="eastAsia"/>
        </w:rPr>
        <w:t>转动机构单元概念设计（后期可能会根据天线整体尺寸需求微修框架尺寸）</w:t>
      </w:r>
    </w:p>
    <w:p w14:paraId="2AF75D07"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hint="eastAsia"/>
          <w:bCs/>
          <w:color w:val="000000"/>
          <w:sz w:val="24"/>
        </w:rPr>
      </w:pPr>
      <w:r>
        <w:rPr>
          <w:rFonts w:ascii="宋体" w:hAnsi="宋体" w:cs="Arial" w:hint="eastAsia"/>
          <w:bCs/>
          <w:color w:val="000000"/>
          <w:sz w:val="24"/>
        </w:rPr>
        <w:t>将图1所示单元设计成可推拉形式安装的“抽屉”结构，导轨所占空间需要经过甲方同意。</w:t>
      </w:r>
    </w:p>
    <w:p w14:paraId="6EB8A879"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hint="eastAsia"/>
          <w:bCs/>
          <w:color w:val="000000"/>
          <w:sz w:val="24"/>
        </w:rPr>
      </w:pPr>
      <w:r>
        <w:rPr>
          <w:rFonts w:ascii="宋体" w:hAnsi="宋体" w:cs="Arial"/>
          <w:bCs/>
          <w:color w:val="000000"/>
          <w:sz w:val="24"/>
        </w:rPr>
        <w:t>基于</w:t>
      </w:r>
      <w:r>
        <w:rPr>
          <w:rFonts w:ascii="宋体" w:hAnsi="宋体" w:cs="Arial" w:hint="eastAsia"/>
          <w:bCs/>
          <w:color w:val="000000"/>
          <w:sz w:val="24"/>
        </w:rPr>
        <w:t>转动机构单元</w:t>
      </w:r>
      <w:r>
        <w:rPr>
          <w:rFonts w:ascii="宋体" w:hAnsi="宋体" w:cs="Arial"/>
          <w:bCs/>
          <w:color w:val="000000"/>
          <w:sz w:val="24"/>
        </w:rPr>
        <w:t>设计方案，</w:t>
      </w:r>
      <w:r>
        <w:rPr>
          <w:rFonts w:ascii="宋体" w:hAnsi="宋体" w:cs="Arial" w:hint="eastAsia"/>
          <w:bCs/>
          <w:color w:val="000000"/>
          <w:sz w:val="24"/>
        </w:rPr>
        <w:t>完成工艺设计。</w:t>
      </w:r>
      <w:r>
        <w:rPr>
          <w:rFonts w:ascii="宋体" w:hAnsi="宋体" w:cs="Arial"/>
          <w:bCs/>
          <w:color w:val="000000"/>
          <w:sz w:val="24"/>
        </w:rPr>
        <w:t>加工零部件，组装成一套完整的转动机构单元</w:t>
      </w:r>
      <w:r>
        <w:rPr>
          <w:rFonts w:ascii="宋体" w:hAnsi="宋体" w:cs="Arial" w:hint="eastAsia"/>
          <w:bCs/>
          <w:color w:val="000000"/>
          <w:sz w:val="24"/>
        </w:rPr>
        <w:t>。其中，</w:t>
      </w:r>
    </w:p>
    <w:p w14:paraId="3D242D32" w14:textId="77777777" w:rsidR="004A35E2" w:rsidRDefault="004A35E2" w:rsidP="004A35E2">
      <w:pPr>
        <w:numPr>
          <w:ilvl w:val="0"/>
          <w:numId w:val="6"/>
        </w:numPr>
        <w:adjustRightInd w:val="0"/>
        <w:snapToGrid w:val="0"/>
        <w:spacing w:beforeLines="50" w:before="120" w:line="360" w:lineRule="auto"/>
        <w:rPr>
          <w:rFonts w:ascii="宋体" w:hAnsi="宋体" w:cs="Arial" w:hint="eastAsia"/>
          <w:bCs/>
          <w:color w:val="000000"/>
          <w:sz w:val="24"/>
        </w:rPr>
      </w:pPr>
      <w:r>
        <w:rPr>
          <w:rFonts w:ascii="宋体" w:hAnsi="宋体" w:cs="Arial"/>
          <w:bCs/>
          <w:color w:val="000000"/>
          <w:sz w:val="24"/>
        </w:rPr>
        <w:t>焊缝需满足ISO5817 B级要求，焊缝需经过100%体积性检测，超声检测不允许有超过直径1mm横孔当量大小的缺陷；小于1mm当量大小的缺陷，缺陷长度不允许超过板厚的二分之一（此项指标最终以实验结果为准）</w:t>
      </w:r>
    </w:p>
    <w:p w14:paraId="2FE6A35E" w14:textId="77777777" w:rsidR="004A35E2" w:rsidRDefault="004A35E2" w:rsidP="004A35E2">
      <w:pPr>
        <w:numPr>
          <w:ilvl w:val="0"/>
          <w:numId w:val="6"/>
        </w:numPr>
        <w:adjustRightInd w:val="0"/>
        <w:snapToGrid w:val="0"/>
        <w:spacing w:beforeLines="50" w:before="120" w:line="360" w:lineRule="auto"/>
        <w:rPr>
          <w:rFonts w:ascii="宋体" w:hAnsi="宋体" w:cs="Arial" w:hint="eastAsia"/>
          <w:bCs/>
          <w:color w:val="000000"/>
          <w:sz w:val="24"/>
        </w:rPr>
      </w:pPr>
      <w:r>
        <w:rPr>
          <w:rFonts w:ascii="宋体" w:hAnsi="宋体" w:cs="Arial" w:hint="eastAsia"/>
          <w:bCs/>
          <w:color w:val="000000"/>
          <w:sz w:val="24"/>
        </w:rPr>
        <w:t>法兰的真空漏率</w:t>
      </w:r>
      <w:r>
        <w:rPr>
          <w:rFonts w:ascii="宋体" w:hAnsi="宋体" w:cs="Arial"/>
          <w:bCs/>
          <w:color w:val="000000"/>
          <w:sz w:val="24"/>
        </w:rPr>
        <w:t>为≤5×10</w:t>
      </w:r>
      <w:r>
        <w:rPr>
          <w:rFonts w:ascii="宋体" w:hAnsi="宋体" w:cs="Arial"/>
          <w:bCs/>
          <w:color w:val="000000"/>
          <w:sz w:val="24"/>
          <w:vertAlign w:val="superscript"/>
        </w:rPr>
        <w:t>-10</w:t>
      </w:r>
      <w:r>
        <w:rPr>
          <w:rFonts w:ascii="宋体" w:hAnsi="宋体" w:cs="Arial"/>
          <w:bCs/>
          <w:color w:val="000000"/>
          <w:sz w:val="24"/>
        </w:rPr>
        <w:t xml:space="preserve"> Pa∙m</w:t>
      </w:r>
      <w:r>
        <w:rPr>
          <w:rFonts w:ascii="宋体" w:hAnsi="宋体" w:cs="Arial"/>
          <w:bCs/>
          <w:color w:val="000000"/>
          <w:sz w:val="24"/>
          <w:vertAlign w:val="superscript"/>
        </w:rPr>
        <w:t>3</w:t>
      </w:r>
      <w:r>
        <w:rPr>
          <w:rFonts w:ascii="宋体" w:hAnsi="宋体" w:cs="Arial"/>
          <w:bCs/>
          <w:color w:val="000000"/>
          <w:sz w:val="24"/>
        </w:rPr>
        <w:t>/s</w:t>
      </w:r>
    </w:p>
    <w:p w14:paraId="3E161C93" w14:textId="77777777" w:rsidR="004A35E2" w:rsidRDefault="004A35E2" w:rsidP="004A35E2">
      <w:pPr>
        <w:numPr>
          <w:ilvl w:val="0"/>
          <w:numId w:val="4"/>
        </w:numPr>
        <w:tabs>
          <w:tab w:val="left" w:pos="312"/>
        </w:tabs>
        <w:adjustRightInd w:val="0"/>
        <w:snapToGrid w:val="0"/>
        <w:spacing w:beforeLines="50" w:before="120" w:line="360" w:lineRule="auto"/>
        <w:rPr>
          <w:rFonts w:ascii="宋体" w:hAnsi="宋体" w:cs="Arial" w:hint="eastAsia"/>
          <w:bCs/>
          <w:color w:val="000000"/>
          <w:sz w:val="24"/>
        </w:rPr>
      </w:pPr>
      <w:r>
        <w:rPr>
          <w:rFonts w:ascii="宋体" w:hAnsi="宋体" w:cs="Arial"/>
          <w:bCs/>
          <w:color w:val="000000"/>
          <w:sz w:val="24"/>
        </w:rPr>
        <w:t>开展测试试验</w:t>
      </w:r>
      <w:r>
        <w:rPr>
          <w:rFonts w:ascii="宋体" w:hAnsi="宋体" w:cs="Arial" w:hint="eastAsia"/>
          <w:bCs/>
          <w:color w:val="000000"/>
          <w:sz w:val="24"/>
        </w:rPr>
        <w:t>，技术指标如下</w:t>
      </w:r>
      <w:r>
        <w:rPr>
          <w:rFonts w:ascii="宋体" w:hAnsi="宋体" w:cs="Arial"/>
          <w:bCs/>
          <w:color w:val="000000"/>
          <w:sz w:val="24"/>
        </w:rPr>
        <w:t>：</w:t>
      </w:r>
    </w:p>
    <w:p w14:paraId="7152FB8E" w14:textId="77777777" w:rsidR="004A35E2" w:rsidRDefault="004A35E2" w:rsidP="004A35E2">
      <w:pPr>
        <w:numPr>
          <w:ilvl w:val="0"/>
          <w:numId w:val="7"/>
        </w:numPr>
        <w:adjustRightInd w:val="0"/>
        <w:snapToGrid w:val="0"/>
        <w:spacing w:beforeLines="50" w:before="120" w:line="360" w:lineRule="auto"/>
        <w:rPr>
          <w:rFonts w:ascii="宋体" w:hAnsi="宋体" w:cs="Arial" w:hint="eastAsia"/>
          <w:bCs/>
          <w:color w:val="000000"/>
          <w:sz w:val="24"/>
        </w:rPr>
      </w:pPr>
      <w:r>
        <w:rPr>
          <w:rFonts w:ascii="宋体" w:hAnsi="宋体" w:cs="Arial"/>
          <w:bCs/>
          <w:color w:val="000000"/>
          <w:sz w:val="24"/>
        </w:rPr>
        <w:t>转动精度：±0.3°以内</w:t>
      </w:r>
    </w:p>
    <w:p w14:paraId="178973B8" w14:textId="77777777" w:rsidR="004A35E2" w:rsidRDefault="004A35E2" w:rsidP="004A35E2">
      <w:pPr>
        <w:numPr>
          <w:ilvl w:val="0"/>
          <w:numId w:val="7"/>
        </w:numPr>
        <w:adjustRightInd w:val="0"/>
        <w:snapToGrid w:val="0"/>
        <w:spacing w:beforeLines="50" w:before="120" w:line="360" w:lineRule="auto"/>
        <w:rPr>
          <w:rFonts w:ascii="宋体" w:hAnsi="宋体" w:cs="Arial" w:hint="eastAsia"/>
          <w:bCs/>
          <w:color w:val="000000"/>
          <w:sz w:val="24"/>
        </w:rPr>
      </w:pPr>
      <w:r>
        <w:rPr>
          <w:rFonts w:ascii="宋体" w:hAnsi="宋体" w:cs="Arial"/>
          <w:bCs/>
          <w:color w:val="000000"/>
          <w:sz w:val="24"/>
        </w:rPr>
        <w:t>疲劳测试：5MPa 水压下，每1000次后测量转动精度，采用编码器、激光跟踪仪或激光打靶形式，同时进行真空检漏，漏率为≤5×10</w:t>
      </w:r>
      <w:r>
        <w:rPr>
          <w:rFonts w:ascii="宋体" w:hAnsi="宋体" w:cs="Arial"/>
          <w:bCs/>
          <w:color w:val="000000"/>
          <w:sz w:val="24"/>
          <w:vertAlign w:val="superscript"/>
        </w:rPr>
        <w:t>-10</w:t>
      </w:r>
      <w:r>
        <w:rPr>
          <w:rFonts w:ascii="宋体" w:hAnsi="宋体" w:cs="Arial"/>
          <w:bCs/>
          <w:color w:val="000000"/>
          <w:sz w:val="24"/>
        </w:rPr>
        <w:t xml:space="preserve"> Pa∙m</w:t>
      </w:r>
      <w:r>
        <w:rPr>
          <w:rFonts w:ascii="宋体" w:hAnsi="宋体" w:cs="Arial"/>
          <w:bCs/>
          <w:color w:val="000000"/>
          <w:sz w:val="24"/>
          <w:vertAlign w:val="superscript"/>
        </w:rPr>
        <w:t>3</w:t>
      </w:r>
      <w:r>
        <w:rPr>
          <w:rFonts w:ascii="宋体" w:hAnsi="宋体" w:cs="Arial"/>
          <w:bCs/>
          <w:color w:val="000000"/>
          <w:sz w:val="24"/>
        </w:rPr>
        <w:t>/s。开展多轮破坏性疲劳测试，</w:t>
      </w:r>
      <w:r>
        <w:rPr>
          <w:rFonts w:ascii="宋体" w:hAnsi="宋体" w:cs="Arial" w:hint="eastAsia"/>
          <w:bCs/>
          <w:color w:val="000000"/>
          <w:sz w:val="24"/>
        </w:rPr>
        <w:t>探索影响转动机构寿命的主要因素（包括机械结构造成的精度不满足、柔性结构泄漏、水冷通道泄漏等），</w:t>
      </w:r>
      <w:r>
        <w:rPr>
          <w:rFonts w:ascii="宋体" w:hAnsi="宋体" w:cs="Arial"/>
          <w:bCs/>
          <w:color w:val="000000"/>
          <w:sz w:val="24"/>
        </w:rPr>
        <w:t>评估出转动机构的寿命</w:t>
      </w:r>
      <w:r>
        <w:rPr>
          <w:rFonts w:ascii="宋体" w:hAnsi="宋体" w:cs="Arial" w:hint="eastAsia"/>
          <w:bCs/>
          <w:color w:val="000000"/>
          <w:sz w:val="24"/>
        </w:rPr>
        <w:t>周期</w:t>
      </w:r>
      <w:r>
        <w:rPr>
          <w:rFonts w:ascii="宋体" w:hAnsi="宋体" w:cs="Arial"/>
          <w:bCs/>
          <w:color w:val="000000"/>
          <w:sz w:val="24"/>
        </w:rPr>
        <w:t>。</w:t>
      </w:r>
    </w:p>
    <w:p w14:paraId="0F291A83" w14:textId="77777777" w:rsidR="004A35E2" w:rsidRDefault="004A35E2" w:rsidP="004A35E2">
      <w:pPr>
        <w:adjustRightInd w:val="0"/>
        <w:snapToGrid w:val="0"/>
        <w:spacing w:beforeLines="50" w:before="120"/>
        <w:rPr>
          <w:rFonts w:ascii="宋体" w:hAnsi="宋体" w:cs="Arial" w:hint="eastAsia"/>
          <w:b/>
          <w:color w:val="000000"/>
          <w:sz w:val="24"/>
        </w:rPr>
      </w:pPr>
    </w:p>
    <w:p w14:paraId="36EABDB3" w14:textId="77777777" w:rsidR="004A35E2" w:rsidRDefault="004A35E2" w:rsidP="004A35E2">
      <w:pPr>
        <w:numPr>
          <w:ilvl w:val="0"/>
          <w:numId w:val="3"/>
        </w:numPr>
        <w:adjustRightInd w:val="0"/>
        <w:snapToGrid w:val="0"/>
        <w:spacing w:beforeLines="50" w:before="120"/>
        <w:rPr>
          <w:rFonts w:ascii="宋体" w:hAnsi="宋体" w:cs="Arial" w:hint="eastAsia"/>
          <w:b/>
          <w:color w:val="000000"/>
          <w:sz w:val="24"/>
        </w:rPr>
      </w:pPr>
      <w:r>
        <w:rPr>
          <w:rFonts w:ascii="宋体" w:hAnsi="宋体" w:cs="Arial"/>
          <w:b/>
          <w:color w:val="000000"/>
          <w:sz w:val="24"/>
        </w:rPr>
        <w:t>技术服务要求</w:t>
      </w:r>
      <w:r>
        <w:rPr>
          <w:rFonts w:ascii="宋体" w:hAnsi="宋体" w:cs="Arial" w:hint="eastAsia"/>
          <w:b/>
          <w:color w:val="000000"/>
          <w:sz w:val="24"/>
        </w:rPr>
        <w:t>及质保要求</w:t>
      </w:r>
    </w:p>
    <w:p w14:paraId="667C5903" w14:textId="77777777" w:rsidR="004A35E2" w:rsidRDefault="004A35E2" w:rsidP="004A35E2">
      <w:pPr>
        <w:snapToGrid w:val="0"/>
        <w:spacing w:line="360" w:lineRule="auto"/>
        <w:rPr>
          <w:rFonts w:ascii="宋体" w:hAnsi="宋体" w:hint="eastAsia"/>
          <w:sz w:val="24"/>
        </w:rPr>
      </w:pPr>
      <w:r>
        <w:rPr>
          <w:rFonts w:ascii="宋体" w:hAnsi="宋体" w:hint="eastAsia"/>
          <w:sz w:val="24"/>
        </w:rPr>
        <w:t>5.1 技术服务要求</w:t>
      </w:r>
    </w:p>
    <w:p w14:paraId="4B6FB1E3"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1.中标方根据用方要求，完成天线转动机构单元的详细方案设计和工艺设计，绘制模型和制作图纸。</w:t>
      </w:r>
    </w:p>
    <w:p w14:paraId="17083D97"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lastRenderedPageBreak/>
        <w:t>2.中标方向用方提供整套完整模型（CATIA格式和STP格式）和全套最终图纸，当有更新时，中标方及时更新并提交给用方。</w:t>
      </w:r>
    </w:p>
    <w:p w14:paraId="322F8174"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3.所有零部件完全按照图纸标注及精度加工，组装后的单元尺寸完全按照图纸标注并满足精度要求。</w:t>
      </w:r>
    </w:p>
    <w:p w14:paraId="63861070"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4.中标方提供测试试验场地，根据用方提出的试验要求，完成所有测试指标。</w:t>
      </w:r>
    </w:p>
    <w:p w14:paraId="2931759A" w14:textId="77777777" w:rsidR="004A35E2" w:rsidRDefault="004A35E2" w:rsidP="004A35E2">
      <w:pPr>
        <w:spacing w:line="360" w:lineRule="auto"/>
        <w:ind w:firstLineChars="200" w:firstLine="480"/>
        <w:rPr>
          <w:rFonts w:ascii="宋体" w:hAnsi="宋体" w:hint="eastAsia"/>
          <w:sz w:val="24"/>
        </w:rPr>
      </w:pPr>
      <w:r>
        <w:rPr>
          <w:rFonts w:ascii="宋体" w:hAnsi="宋体" w:hint="eastAsia"/>
          <w:sz w:val="24"/>
        </w:rPr>
        <w:t>5.所有知识产权归甲方所有，包括所有模型、工程图纸、加工制造工艺文件、检测报告等。甲方有权就上述材料发表论文和申请相关专利等，如有涉及乙方不能公开的商业机密问题请投标时指出，否则视为可以公开。乙方存在侵害甲方知识产权行为须双倍赔偿合同金额。</w:t>
      </w:r>
    </w:p>
    <w:p w14:paraId="69795169" w14:textId="77777777" w:rsidR="004A35E2" w:rsidRDefault="004A35E2" w:rsidP="004A35E2">
      <w:pPr>
        <w:snapToGrid w:val="0"/>
        <w:spacing w:line="360" w:lineRule="auto"/>
        <w:rPr>
          <w:rFonts w:ascii="宋体" w:hAnsi="宋体" w:hint="eastAsia"/>
          <w:sz w:val="24"/>
        </w:rPr>
      </w:pPr>
    </w:p>
    <w:p w14:paraId="6E351962" w14:textId="77777777" w:rsidR="004A35E2" w:rsidRDefault="004A35E2" w:rsidP="004A35E2">
      <w:pPr>
        <w:snapToGrid w:val="0"/>
        <w:spacing w:line="360" w:lineRule="auto"/>
        <w:rPr>
          <w:rFonts w:ascii="宋体" w:hAnsi="宋体" w:hint="eastAsia"/>
          <w:sz w:val="24"/>
        </w:rPr>
      </w:pPr>
      <w:r>
        <w:rPr>
          <w:rFonts w:ascii="宋体" w:hAnsi="宋体" w:hint="eastAsia"/>
          <w:sz w:val="24"/>
        </w:rPr>
        <w:t>5.2质保要求</w:t>
      </w:r>
    </w:p>
    <w:p w14:paraId="061BC88E"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1、中标方对</w:t>
      </w:r>
      <w:r>
        <w:rPr>
          <w:rFonts w:ascii="宋体" w:hAnsi="宋体"/>
          <w:sz w:val="24"/>
        </w:rPr>
        <w:t>交付物</w:t>
      </w:r>
      <w:r>
        <w:rPr>
          <w:rFonts w:ascii="宋体" w:hAnsi="宋体" w:hint="eastAsia"/>
          <w:sz w:val="24"/>
        </w:rPr>
        <w:t>免费保修</w:t>
      </w:r>
      <w:r>
        <w:rPr>
          <w:rFonts w:ascii="宋体" w:hAnsi="宋体" w:hint="eastAsia"/>
          <w:sz w:val="24"/>
          <w:u w:val="single"/>
        </w:rPr>
        <w:t>贰</w:t>
      </w:r>
      <w:r>
        <w:rPr>
          <w:rFonts w:ascii="宋体" w:hAnsi="宋体" w:hint="eastAsia"/>
          <w:sz w:val="24"/>
        </w:rPr>
        <w:t>年，中标方实行免费上门维修并免费提供维修配件，免费保修期自产品安装并调试验收合格之日起计算（零部件、配件、新设备自有的保修期长于中标方承诺的保修期的，适用其自有保修期的规定）。在该保修期内，经三次维修仍存在质量问题的，中标方应及时无条件地免费更换。</w:t>
      </w:r>
    </w:p>
    <w:p w14:paraId="72E99E1D"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 xml:space="preserve">2、产品出现质量问题，中标方应在接到通知当日进行回复确认，并在 </w:t>
      </w:r>
      <w:r>
        <w:rPr>
          <w:rFonts w:ascii="宋体" w:hAnsi="宋体"/>
          <w:sz w:val="24"/>
          <w:u w:val="single"/>
        </w:rPr>
        <w:t>24</w:t>
      </w:r>
      <w:r>
        <w:rPr>
          <w:rFonts w:ascii="宋体" w:hAnsi="宋体" w:hint="eastAsia"/>
          <w:sz w:val="24"/>
        </w:rPr>
        <w:t>小时内赶到用户所在地或</w:t>
      </w:r>
      <w:r>
        <w:rPr>
          <w:rFonts w:ascii="宋体" w:hAnsi="宋体"/>
          <w:sz w:val="24"/>
        </w:rPr>
        <w:t>交付物</w:t>
      </w:r>
      <w:r>
        <w:rPr>
          <w:rFonts w:ascii="宋体" w:hAnsi="宋体" w:hint="eastAsia"/>
          <w:sz w:val="24"/>
        </w:rPr>
        <w:t>所在地进行维修，并承诺在</w:t>
      </w:r>
      <w:r>
        <w:rPr>
          <w:rFonts w:ascii="宋体" w:hAnsi="宋体"/>
          <w:sz w:val="24"/>
          <w:u w:val="single"/>
        </w:rPr>
        <w:t>24</w:t>
      </w:r>
      <w:r>
        <w:rPr>
          <w:rFonts w:ascii="宋体" w:hAnsi="宋体" w:hint="eastAsia"/>
          <w:sz w:val="24"/>
        </w:rPr>
        <w:t>小时内排除故障，恢复使用。如重大问题或其他无法迅速解决的问题应在1周内解决，中标方应明确提出解决方案，否则中标方应赔偿相应损失。</w:t>
      </w:r>
    </w:p>
    <w:p w14:paraId="0763B706" w14:textId="77777777" w:rsidR="004A35E2" w:rsidRDefault="004A35E2" w:rsidP="004A35E2">
      <w:pPr>
        <w:snapToGrid w:val="0"/>
        <w:spacing w:line="360" w:lineRule="auto"/>
        <w:ind w:firstLine="420"/>
        <w:rPr>
          <w:rFonts w:ascii="宋体" w:hAnsi="宋体" w:hint="eastAsia"/>
          <w:sz w:val="24"/>
        </w:rPr>
      </w:pPr>
      <w:r>
        <w:rPr>
          <w:rFonts w:ascii="宋体" w:hAnsi="宋体" w:hint="eastAsia"/>
          <w:sz w:val="24"/>
        </w:rPr>
        <w:t>3、在免费保修期外，</w:t>
      </w:r>
      <w:r>
        <w:rPr>
          <w:rFonts w:ascii="宋体" w:hAnsi="宋体"/>
          <w:sz w:val="24"/>
        </w:rPr>
        <w:t>交付物</w:t>
      </w:r>
      <w:r>
        <w:rPr>
          <w:rFonts w:ascii="宋体" w:hAnsi="宋体" w:hint="eastAsia"/>
          <w:sz w:val="24"/>
        </w:rPr>
        <w:t>出现质量问题，中标方虽不受上述条款约束，但中标方提供终生维修服务。</w:t>
      </w:r>
    </w:p>
    <w:p w14:paraId="177117A8" w14:textId="77777777" w:rsidR="004A35E2" w:rsidRDefault="004A35E2" w:rsidP="004A35E2">
      <w:pPr>
        <w:adjustRightInd w:val="0"/>
        <w:snapToGrid w:val="0"/>
        <w:spacing w:beforeLines="50" w:before="120"/>
        <w:rPr>
          <w:rFonts w:ascii="宋体" w:hAnsi="宋体" w:cs="Arial" w:hint="eastAsia"/>
          <w:b/>
          <w:color w:val="000000"/>
          <w:sz w:val="24"/>
        </w:rPr>
      </w:pPr>
    </w:p>
    <w:p w14:paraId="68A53D87" w14:textId="77777777" w:rsidR="004A35E2" w:rsidRDefault="004A35E2" w:rsidP="004A35E2">
      <w:pPr>
        <w:numPr>
          <w:ilvl w:val="0"/>
          <w:numId w:val="3"/>
        </w:numPr>
        <w:adjustRightInd w:val="0"/>
        <w:snapToGrid w:val="0"/>
        <w:spacing w:beforeLines="50" w:before="120"/>
        <w:ind w:left="505" w:hanging="505"/>
        <w:rPr>
          <w:rFonts w:ascii="宋体" w:hAnsi="宋体" w:cs="Arial" w:hint="eastAsia"/>
          <w:b/>
          <w:color w:val="000000"/>
          <w:sz w:val="24"/>
        </w:rPr>
      </w:pPr>
      <w:r>
        <w:rPr>
          <w:rFonts w:ascii="宋体" w:hAnsi="宋体" w:cs="Arial"/>
          <w:b/>
          <w:color w:val="000000"/>
          <w:sz w:val="24"/>
        </w:rPr>
        <w:t>验收标准及验收程序</w:t>
      </w:r>
    </w:p>
    <w:tbl>
      <w:tblPr>
        <w:tblW w:w="9111" w:type="dxa"/>
        <w:tblCellMar>
          <w:left w:w="0" w:type="dxa"/>
          <w:right w:w="0" w:type="dxa"/>
        </w:tblCellMar>
        <w:tblLook w:val="0000" w:firstRow="0" w:lastRow="0" w:firstColumn="0" w:lastColumn="0" w:noHBand="0" w:noVBand="0"/>
      </w:tblPr>
      <w:tblGrid>
        <w:gridCol w:w="1751"/>
        <w:gridCol w:w="5020"/>
        <w:gridCol w:w="2340"/>
      </w:tblGrid>
      <w:tr w:rsidR="004A35E2" w14:paraId="1E61E8CC" w14:textId="77777777" w:rsidTr="00B16809">
        <w:trPr>
          <w:trHeight w:val="739"/>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6365869" w14:textId="77777777" w:rsidR="004A35E2" w:rsidRDefault="004A35E2" w:rsidP="00B16809">
            <w:pPr>
              <w:pStyle w:val="af2"/>
              <w:adjustRightInd w:val="0"/>
              <w:snapToGrid w:val="0"/>
              <w:spacing w:beforeAutospacing="0" w:afterAutospacing="0" w:line="312" w:lineRule="auto"/>
              <w:rPr>
                <w:rFonts w:hint="eastAsia"/>
              </w:rPr>
            </w:pPr>
            <w:r>
              <w:rPr>
                <w:rFonts w:hint="eastAsia"/>
                <w:b/>
                <w:bCs/>
                <w:color w:val="000000"/>
              </w:rPr>
              <w:t>技术指标</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0DEA6AFF" w14:textId="77777777" w:rsidR="004A35E2" w:rsidRDefault="004A35E2" w:rsidP="00B16809">
            <w:pPr>
              <w:pStyle w:val="af2"/>
              <w:adjustRightInd w:val="0"/>
              <w:snapToGrid w:val="0"/>
              <w:spacing w:beforeAutospacing="0" w:afterAutospacing="0" w:line="312" w:lineRule="auto"/>
              <w:rPr>
                <w:rFonts w:hint="eastAsia"/>
              </w:rPr>
            </w:pPr>
            <w:r>
              <w:rPr>
                <w:rFonts w:hint="eastAsia"/>
                <w:b/>
                <w:bCs/>
                <w:color w:val="000000"/>
              </w:rPr>
              <w:t>验收标准</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5176A9C" w14:textId="77777777" w:rsidR="004A35E2" w:rsidRDefault="004A35E2" w:rsidP="00B16809">
            <w:pPr>
              <w:pStyle w:val="af2"/>
              <w:adjustRightInd w:val="0"/>
              <w:snapToGrid w:val="0"/>
              <w:spacing w:beforeAutospacing="0" w:afterAutospacing="0" w:line="312" w:lineRule="auto"/>
              <w:rPr>
                <w:rFonts w:hint="eastAsia"/>
              </w:rPr>
            </w:pPr>
            <w:r>
              <w:rPr>
                <w:rFonts w:hint="eastAsia"/>
                <w:b/>
                <w:bCs/>
                <w:color w:val="000000"/>
              </w:rPr>
              <w:t>验收程序</w:t>
            </w:r>
          </w:p>
        </w:tc>
      </w:tr>
      <w:tr w:rsidR="004A35E2" w14:paraId="3BB1B72D" w14:textId="77777777" w:rsidTr="00B16809">
        <w:trPr>
          <w:trHeight w:val="824"/>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D2C92FB" w14:textId="77777777" w:rsidR="004A35E2" w:rsidRDefault="004A35E2" w:rsidP="00B16809">
            <w:pPr>
              <w:pStyle w:val="af2"/>
              <w:adjustRightInd w:val="0"/>
              <w:snapToGrid w:val="0"/>
              <w:spacing w:beforeAutospacing="0" w:afterAutospacing="0" w:line="312" w:lineRule="auto"/>
              <w:rPr>
                <w:rFonts w:hint="eastAsia"/>
                <w:sz w:val="28"/>
                <w:szCs w:val="28"/>
              </w:rPr>
            </w:pPr>
            <w:r>
              <w:rPr>
                <w:rFonts w:hint="eastAsia"/>
                <w:color w:val="000000"/>
                <w:sz w:val="21"/>
                <w:szCs w:val="21"/>
              </w:rPr>
              <w:t>方案设计</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20F7BDB"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针对天线所处的真空室环境，完成整个转动机构单元的工程设计，满足以下输入条件：</w:t>
            </w:r>
          </w:p>
          <w:p w14:paraId="470F3DC6"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t>动力驱动需要满足温度（200℃）、场强（1.5T）、辐射（10</w:t>
            </w:r>
            <w:r>
              <w:rPr>
                <w:rFonts w:hint="eastAsia"/>
                <w:color w:val="000000"/>
                <w:sz w:val="21"/>
                <w:szCs w:val="21"/>
                <w:vertAlign w:val="superscript"/>
              </w:rPr>
              <w:t>7</w:t>
            </w:r>
            <w:r>
              <w:rPr>
                <w:rFonts w:hint="eastAsia"/>
                <w:color w:val="000000"/>
                <w:sz w:val="21"/>
                <w:szCs w:val="21"/>
              </w:rPr>
              <w:t>Gy）条件下工作</w:t>
            </w:r>
          </w:p>
          <w:p w14:paraId="2EC1BE21"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t>水冷70℃入口水温、4MPa入口压力</w:t>
            </w:r>
          </w:p>
          <w:p w14:paraId="59A7D2BA"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lastRenderedPageBreak/>
              <w:t>材料选取需满足聚变堆条件下使用工况，特别是密封和动态部件的材料选取</w:t>
            </w:r>
          </w:p>
          <w:p w14:paraId="164C0223" w14:textId="77777777" w:rsidR="004A35E2" w:rsidRDefault="004A35E2" w:rsidP="004A35E2">
            <w:pPr>
              <w:pStyle w:val="af2"/>
              <w:numPr>
                <w:ilvl w:val="0"/>
                <w:numId w:val="5"/>
              </w:numPr>
              <w:adjustRightInd w:val="0"/>
              <w:snapToGrid w:val="0"/>
              <w:spacing w:beforeAutospacing="0" w:afterAutospacing="0" w:line="312" w:lineRule="auto"/>
              <w:rPr>
                <w:rFonts w:hint="eastAsia"/>
                <w:color w:val="000000"/>
                <w:sz w:val="21"/>
                <w:szCs w:val="21"/>
              </w:rPr>
            </w:pPr>
            <w:r>
              <w:rPr>
                <w:rFonts w:hint="eastAsia"/>
                <w:color w:val="000000"/>
                <w:sz w:val="21"/>
                <w:szCs w:val="21"/>
              </w:rPr>
              <w:t>单元整体截面积尺寸≤280mm*450mm（非法兰端），法兰尺寸≤540mm*370mm（偏差可接受范围后期由用方评估）</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CFAC703" w14:textId="77777777" w:rsidR="004A35E2" w:rsidRDefault="004A35E2" w:rsidP="00B16809">
            <w:pPr>
              <w:pStyle w:val="af2"/>
              <w:adjustRightInd w:val="0"/>
              <w:snapToGrid w:val="0"/>
              <w:spacing w:beforeAutospacing="0" w:afterAutospacing="0" w:line="312" w:lineRule="auto"/>
              <w:rPr>
                <w:rFonts w:hint="eastAsia"/>
                <w:sz w:val="28"/>
                <w:szCs w:val="28"/>
              </w:rPr>
            </w:pPr>
            <w:r>
              <w:rPr>
                <w:rFonts w:hint="eastAsia"/>
                <w:color w:val="000000"/>
                <w:sz w:val="21"/>
                <w:szCs w:val="21"/>
              </w:rPr>
              <w:lastRenderedPageBreak/>
              <w:t>详细设计方案、工程模型及图纸均通过技术评审；提供设计报告</w:t>
            </w:r>
          </w:p>
        </w:tc>
      </w:tr>
      <w:tr w:rsidR="004A35E2" w14:paraId="2DE99A5F" w14:textId="77777777" w:rsidTr="00B16809">
        <w:trPr>
          <w:trHeight w:val="1040"/>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BCD0135" w14:textId="77777777" w:rsidR="004A35E2" w:rsidRDefault="004A35E2" w:rsidP="00B16809">
            <w:pPr>
              <w:pStyle w:val="af2"/>
              <w:adjustRightInd w:val="0"/>
              <w:snapToGrid w:val="0"/>
              <w:spacing w:beforeAutospacing="0" w:afterAutospacing="0" w:line="312" w:lineRule="auto"/>
              <w:rPr>
                <w:rFonts w:hint="eastAsia"/>
                <w:sz w:val="28"/>
                <w:szCs w:val="28"/>
              </w:rPr>
            </w:pPr>
            <w:r>
              <w:rPr>
                <w:rFonts w:hint="eastAsia"/>
                <w:color w:val="000000"/>
                <w:sz w:val="21"/>
                <w:szCs w:val="21"/>
              </w:rPr>
              <w:t>预研测试目标</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2B40925"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基于工程方案设计，加工零部件，组装成一套完整的转动机构单元，开展测试试验：</w:t>
            </w:r>
          </w:p>
          <w:p w14:paraId="7FCFC7CC" w14:textId="77777777" w:rsidR="004A35E2" w:rsidRDefault="004A35E2" w:rsidP="004A35E2">
            <w:pPr>
              <w:pStyle w:val="af2"/>
              <w:numPr>
                <w:ilvl w:val="0"/>
                <w:numId w:val="8"/>
              </w:numPr>
              <w:adjustRightInd w:val="0"/>
              <w:snapToGrid w:val="0"/>
              <w:spacing w:beforeAutospacing="0" w:afterAutospacing="0" w:line="312" w:lineRule="auto"/>
              <w:rPr>
                <w:rFonts w:hint="eastAsia"/>
                <w:color w:val="000000"/>
                <w:sz w:val="21"/>
                <w:szCs w:val="21"/>
              </w:rPr>
            </w:pPr>
            <w:r>
              <w:rPr>
                <w:rFonts w:hint="eastAsia"/>
                <w:color w:val="000000"/>
                <w:sz w:val="21"/>
                <w:szCs w:val="21"/>
              </w:rPr>
              <w:t>转动精度：±0.3°以内</w:t>
            </w:r>
          </w:p>
          <w:p w14:paraId="6130EAF2" w14:textId="77777777" w:rsidR="004A35E2" w:rsidRDefault="004A35E2" w:rsidP="004A35E2">
            <w:pPr>
              <w:pStyle w:val="af2"/>
              <w:numPr>
                <w:ilvl w:val="0"/>
                <w:numId w:val="8"/>
              </w:numPr>
              <w:adjustRightInd w:val="0"/>
              <w:snapToGrid w:val="0"/>
              <w:spacing w:beforeAutospacing="0" w:afterAutospacing="0" w:line="312" w:lineRule="auto"/>
              <w:rPr>
                <w:rFonts w:hint="eastAsia"/>
                <w:sz w:val="28"/>
                <w:szCs w:val="28"/>
              </w:rPr>
            </w:pPr>
            <w:r>
              <w:rPr>
                <w:rFonts w:hint="eastAsia"/>
                <w:color w:val="000000"/>
                <w:sz w:val="21"/>
                <w:szCs w:val="21"/>
              </w:rPr>
              <w:t>疲劳测试：5MPa 水压下，每1000次后测量转动精度，采用编码器、激光跟踪仪或激光打靶形式，同时进行真空检漏，漏率为≤5× 10</w:t>
            </w:r>
            <w:r>
              <w:rPr>
                <w:rFonts w:hint="eastAsia"/>
                <w:color w:val="000000"/>
                <w:sz w:val="21"/>
                <w:szCs w:val="21"/>
                <w:vertAlign w:val="superscript"/>
              </w:rPr>
              <w:t>-10</w:t>
            </w:r>
            <w:r>
              <w:rPr>
                <w:rFonts w:hint="eastAsia"/>
                <w:color w:val="000000"/>
                <w:sz w:val="21"/>
                <w:szCs w:val="21"/>
              </w:rPr>
              <w:t xml:space="preserve"> Pa∙m</w:t>
            </w:r>
            <w:r>
              <w:rPr>
                <w:rFonts w:hint="eastAsia"/>
                <w:color w:val="000000"/>
                <w:sz w:val="21"/>
                <w:szCs w:val="21"/>
                <w:vertAlign w:val="superscript"/>
              </w:rPr>
              <w:t>3</w:t>
            </w:r>
            <w:r>
              <w:rPr>
                <w:rFonts w:hint="eastAsia"/>
                <w:color w:val="000000"/>
                <w:sz w:val="21"/>
                <w:szCs w:val="21"/>
              </w:rPr>
              <w:t>/s。开展多轮破坏性疲劳测试，一直测试到评估出转动机构的寿命为止。</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CB24046"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1.转动精度由编码器/激光打靶/激光跟踪仪测试；</w:t>
            </w:r>
          </w:p>
          <w:p w14:paraId="4D5888A8"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2.漏率由氦质谱检漏</w:t>
            </w:r>
          </w:p>
          <w:p w14:paraId="587F7CF5" w14:textId="77777777" w:rsidR="004A35E2" w:rsidRDefault="004A35E2" w:rsidP="00B16809">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3.测试报告</w:t>
            </w:r>
          </w:p>
        </w:tc>
      </w:tr>
    </w:tbl>
    <w:p w14:paraId="75D40068" w14:textId="77777777" w:rsidR="004A35E2" w:rsidRDefault="004A35E2" w:rsidP="004A35E2">
      <w:pPr>
        <w:adjustRightInd w:val="0"/>
        <w:snapToGrid w:val="0"/>
        <w:spacing w:beforeLines="50" w:before="120"/>
        <w:rPr>
          <w:rFonts w:ascii="宋体" w:hAnsi="宋体" w:cs="Arial" w:hint="eastAsia"/>
          <w:b/>
          <w:color w:val="000000"/>
          <w:sz w:val="24"/>
        </w:rPr>
      </w:pPr>
    </w:p>
    <w:p w14:paraId="61208413" w14:textId="77777777" w:rsidR="004A35E2" w:rsidRDefault="004A35E2" w:rsidP="004A35E2">
      <w:pPr>
        <w:numPr>
          <w:ilvl w:val="0"/>
          <w:numId w:val="3"/>
        </w:numPr>
        <w:adjustRightInd w:val="0"/>
        <w:snapToGrid w:val="0"/>
        <w:spacing w:beforeLines="50" w:before="120"/>
        <w:ind w:left="505" w:hanging="505"/>
        <w:rPr>
          <w:rFonts w:ascii="宋体" w:hAnsi="宋体" w:cs="Arial" w:hint="eastAsia"/>
          <w:b/>
          <w:color w:val="000000"/>
          <w:sz w:val="24"/>
        </w:rPr>
      </w:pPr>
      <w:r>
        <w:rPr>
          <w:rFonts w:ascii="宋体" w:hAnsi="宋体" w:cs="Arial" w:hint="eastAsia"/>
          <w:b/>
          <w:color w:val="000000"/>
          <w:sz w:val="24"/>
        </w:rPr>
        <w:t>包装运输要求</w:t>
      </w:r>
    </w:p>
    <w:p w14:paraId="3777B521" w14:textId="77777777" w:rsidR="004A35E2" w:rsidRDefault="004A35E2" w:rsidP="004A35E2">
      <w:pPr>
        <w:snapToGrid w:val="0"/>
        <w:spacing w:line="360" w:lineRule="auto"/>
        <w:rPr>
          <w:rFonts w:ascii="宋体" w:hAnsi="宋体" w:hint="eastAsia"/>
          <w:sz w:val="24"/>
        </w:rPr>
      </w:pPr>
      <w:r>
        <w:rPr>
          <w:rFonts w:ascii="宋体" w:hAnsi="宋体" w:hint="eastAsia"/>
          <w:sz w:val="24"/>
        </w:rPr>
        <w:t>1、</w:t>
      </w:r>
      <w:r>
        <w:rPr>
          <w:rFonts w:ascii="宋体" w:hAnsi="宋体"/>
          <w:sz w:val="24"/>
        </w:rPr>
        <w:t>交付物</w:t>
      </w:r>
      <w:r>
        <w:rPr>
          <w:rFonts w:ascii="宋体" w:hAnsi="宋体" w:hint="eastAsia"/>
          <w:sz w:val="24"/>
        </w:rPr>
        <w:t>由乙方负责包装，乙方按照相关标准（国家标准、行业标准）执行。包装确保产品在正常运输和装卸条件下安全无损地到达甲方指定地点。</w:t>
      </w:r>
    </w:p>
    <w:p w14:paraId="066C7FDE" w14:textId="77777777" w:rsidR="004A35E2" w:rsidRDefault="004A35E2" w:rsidP="004A35E2">
      <w:pPr>
        <w:spacing w:line="360" w:lineRule="auto"/>
        <w:rPr>
          <w:rFonts w:ascii="宋体" w:hAnsi="宋体" w:hint="eastAsia"/>
          <w:color w:val="000000"/>
          <w:sz w:val="24"/>
        </w:rPr>
      </w:pPr>
      <w:r>
        <w:rPr>
          <w:rFonts w:ascii="宋体" w:hAnsi="宋体" w:hint="eastAsia"/>
          <w:sz w:val="24"/>
        </w:rPr>
        <w:t>2、乙方自行选择适宜的运输工具及运输线路，于合同签订生效后</w:t>
      </w:r>
      <w:r>
        <w:rPr>
          <w:rFonts w:ascii="宋体" w:hAnsi="宋体" w:hint="eastAsia"/>
          <w:sz w:val="24"/>
          <w:u w:val="single"/>
        </w:rPr>
        <w:t>7个月</w:t>
      </w:r>
      <w:r>
        <w:rPr>
          <w:rFonts w:ascii="宋体" w:hAnsi="宋体" w:hint="eastAsia"/>
          <w:sz w:val="24"/>
        </w:rPr>
        <w:t>内将</w:t>
      </w:r>
      <w:r>
        <w:rPr>
          <w:rFonts w:ascii="宋体" w:hAnsi="宋体"/>
          <w:sz w:val="24"/>
        </w:rPr>
        <w:t>交付物</w:t>
      </w:r>
      <w:r>
        <w:rPr>
          <w:rFonts w:ascii="宋体" w:hAnsi="宋体" w:hint="eastAsia"/>
          <w:sz w:val="24"/>
        </w:rPr>
        <w:t>运输到甲方指定地点。</w:t>
      </w:r>
      <w:bookmarkEnd w:id="0"/>
    </w:p>
    <w:p w14:paraId="7111BF00" w14:textId="77777777" w:rsidR="00D558D3" w:rsidRPr="004A35E2" w:rsidRDefault="00D558D3"/>
    <w:sectPr w:rsidR="00D558D3" w:rsidRPr="004A35E2" w:rsidSect="004A35E2">
      <w:pgSz w:w="11907" w:h="16840"/>
      <w:pgMar w:top="1440" w:right="1106" w:bottom="936"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364E4" w14:textId="77777777" w:rsidR="00D82449" w:rsidRDefault="00D82449" w:rsidP="004A35E2">
      <w:r>
        <w:separator/>
      </w:r>
    </w:p>
  </w:endnote>
  <w:endnote w:type="continuationSeparator" w:id="0">
    <w:p w14:paraId="020F13DE" w14:textId="77777777" w:rsidR="00D82449" w:rsidRDefault="00D82449" w:rsidP="004A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A6D8" w14:textId="77777777" w:rsidR="00D82449" w:rsidRDefault="00D82449" w:rsidP="004A35E2">
      <w:r>
        <w:separator/>
      </w:r>
    </w:p>
  </w:footnote>
  <w:footnote w:type="continuationSeparator" w:id="0">
    <w:p w14:paraId="252FDE13" w14:textId="77777777" w:rsidR="00D82449" w:rsidRDefault="00D82449" w:rsidP="004A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EF89A"/>
    <w:multiLevelType w:val="singleLevel"/>
    <w:tmpl w:val="81AEF89A"/>
    <w:lvl w:ilvl="0">
      <w:start w:val="1"/>
      <w:numFmt w:val="decimal"/>
      <w:lvlText w:val="%1."/>
      <w:lvlJc w:val="left"/>
      <w:pPr>
        <w:ind w:left="425" w:hanging="425"/>
      </w:pPr>
      <w:rPr>
        <w:rFonts w:hint="default"/>
        <w:sz w:val="21"/>
        <w:szCs w:val="21"/>
      </w:rPr>
    </w:lvl>
  </w:abstractNum>
  <w:abstractNum w:abstractNumId="1" w15:restartNumberingAfterBreak="0">
    <w:nsid w:val="868094A1"/>
    <w:multiLevelType w:val="singleLevel"/>
    <w:tmpl w:val="868094A1"/>
    <w:lvl w:ilvl="0">
      <w:start w:val="1"/>
      <w:numFmt w:val="bullet"/>
      <w:lvlText w:val=""/>
      <w:lvlJc w:val="left"/>
      <w:pPr>
        <w:ind w:left="420" w:hanging="420"/>
      </w:pPr>
      <w:rPr>
        <w:rFonts w:ascii="Wingdings" w:hAnsi="Wingdings" w:hint="default"/>
      </w:rPr>
    </w:lvl>
  </w:abstractNum>
  <w:abstractNum w:abstractNumId="2" w15:restartNumberingAfterBreak="0">
    <w:nsid w:val="96519CAC"/>
    <w:multiLevelType w:val="singleLevel"/>
    <w:tmpl w:val="96519CAC"/>
    <w:lvl w:ilvl="0">
      <w:start w:val="1"/>
      <w:numFmt w:val="decimal"/>
      <w:lvlText w:val="%1."/>
      <w:lvlJc w:val="left"/>
      <w:pPr>
        <w:tabs>
          <w:tab w:val="num" w:pos="312"/>
        </w:tabs>
      </w:pPr>
    </w:lvl>
  </w:abstractNum>
  <w:abstractNum w:abstractNumId="3" w15:restartNumberingAfterBreak="0">
    <w:nsid w:val="AFEAB8D7"/>
    <w:multiLevelType w:val="singleLevel"/>
    <w:tmpl w:val="AFEAB8D7"/>
    <w:lvl w:ilvl="0">
      <w:start w:val="1"/>
      <w:numFmt w:val="bullet"/>
      <w:lvlText w:val=""/>
      <w:lvlJc w:val="left"/>
      <w:pPr>
        <w:ind w:left="420" w:hanging="420"/>
      </w:pPr>
      <w:rPr>
        <w:rFonts w:ascii="Wingdings" w:hAnsi="Wingdings" w:hint="default"/>
      </w:rPr>
    </w:lvl>
  </w:abstractNum>
  <w:abstractNum w:abstractNumId="4" w15:restartNumberingAfterBreak="0">
    <w:nsid w:val="35B7A14F"/>
    <w:multiLevelType w:val="singleLevel"/>
    <w:tmpl w:val="35B7A14F"/>
    <w:lvl w:ilvl="0">
      <w:start w:val="1"/>
      <w:numFmt w:val="bullet"/>
      <w:lvlText w:val=""/>
      <w:lvlJc w:val="left"/>
      <w:pPr>
        <w:ind w:left="420" w:hanging="420"/>
      </w:pPr>
      <w:rPr>
        <w:rFonts w:ascii="Wingdings" w:hAnsi="Wingdings" w:hint="default"/>
      </w:rPr>
    </w:lvl>
  </w:abstractNum>
  <w:abstractNum w:abstractNumId="5"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B1AA4B"/>
    <w:multiLevelType w:val="singleLevel"/>
    <w:tmpl w:val="71B1AA4B"/>
    <w:lvl w:ilvl="0">
      <w:start w:val="1"/>
      <w:numFmt w:val="chineseCounting"/>
      <w:suff w:val="nothing"/>
      <w:lvlText w:val="%1、"/>
      <w:lvlJc w:val="left"/>
      <w:rPr>
        <w:rFonts w:hint="eastAsia"/>
      </w:rPr>
    </w:lvl>
  </w:abstractNum>
  <w:abstractNum w:abstractNumId="7" w15:restartNumberingAfterBreak="0">
    <w:nsid w:val="7B01BFA2"/>
    <w:multiLevelType w:val="singleLevel"/>
    <w:tmpl w:val="7B01BFA2"/>
    <w:lvl w:ilvl="0">
      <w:start w:val="1"/>
      <w:numFmt w:val="bullet"/>
      <w:lvlText w:val=""/>
      <w:lvlJc w:val="left"/>
      <w:pPr>
        <w:ind w:left="420" w:hanging="420"/>
      </w:pPr>
      <w:rPr>
        <w:rFonts w:ascii="Wingdings" w:hAnsi="Wingdings" w:hint="default"/>
      </w:rPr>
    </w:lvl>
  </w:abstractNum>
  <w:num w:numId="1" w16cid:durableId="1431849182">
    <w:abstractNumId w:val="6"/>
  </w:num>
  <w:num w:numId="2" w16cid:durableId="556816259">
    <w:abstractNumId w:val="3"/>
  </w:num>
  <w:num w:numId="3" w16cid:durableId="199637606">
    <w:abstractNumId w:val="5"/>
  </w:num>
  <w:num w:numId="4" w16cid:durableId="260112558">
    <w:abstractNumId w:val="2"/>
  </w:num>
  <w:num w:numId="5" w16cid:durableId="1324502826">
    <w:abstractNumId w:val="4"/>
  </w:num>
  <w:num w:numId="6" w16cid:durableId="927419002">
    <w:abstractNumId w:val="1"/>
  </w:num>
  <w:num w:numId="7" w16cid:durableId="2066949220">
    <w:abstractNumId w:val="7"/>
  </w:num>
  <w:num w:numId="8" w16cid:durableId="143644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62"/>
    <w:rsid w:val="00287334"/>
    <w:rsid w:val="00456F0B"/>
    <w:rsid w:val="004A35E2"/>
    <w:rsid w:val="00665A73"/>
    <w:rsid w:val="008570E9"/>
    <w:rsid w:val="008C6C1C"/>
    <w:rsid w:val="00937BB4"/>
    <w:rsid w:val="00C27AB5"/>
    <w:rsid w:val="00D558D3"/>
    <w:rsid w:val="00D82449"/>
    <w:rsid w:val="00D83F62"/>
    <w:rsid w:val="00DD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9C63"/>
  <w15:chartTrackingRefBased/>
  <w15:docId w15:val="{431CEA6F-D5E6-43EF-AEA4-6AD206AB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5E2"/>
    <w:pPr>
      <w:widowControl w:val="0"/>
      <w:jc w:val="both"/>
    </w:pPr>
    <w:rPr>
      <w:rFonts w:ascii="Times New Roman" w:eastAsia="宋体" w:hAnsi="Times New Roman" w:cs="Times New Roman"/>
      <w:szCs w:val="24"/>
    </w:rPr>
  </w:style>
  <w:style w:type="paragraph" w:styleId="1">
    <w:name w:val="heading 1"/>
    <w:basedOn w:val="a"/>
    <w:next w:val="a"/>
    <w:link w:val="10"/>
    <w:qFormat/>
    <w:rsid w:val="00D83F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83F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83F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83F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83F6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83F6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83F6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F6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83F6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83F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83F6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83F6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83F62"/>
    <w:rPr>
      <w:rFonts w:cstheme="majorBidi"/>
      <w:color w:val="0F4761" w:themeColor="accent1" w:themeShade="BF"/>
      <w:sz w:val="28"/>
      <w:szCs w:val="28"/>
    </w:rPr>
  </w:style>
  <w:style w:type="character" w:customStyle="1" w:styleId="50">
    <w:name w:val="标题 5 字符"/>
    <w:basedOn w:val="a0"/>
    <w:link w:val="5"/>
    <w:uiPriority w:val="9"/>
    <w:semiHidden/>
    <w:rsid w:val="00D83F62"/>
    <w:rPr>
      <w:rFonts w:cstheme="majorBidi"/>
      <w:color w:val="0F4761" w:themeColor="accent1" w:themeShade="BF"/>
      <w:sz w:val="24"/>
      <w:szCs w:val="24"/>
    </w:rPr>
  </w:style>
  <w:style w:type="character" w:customStyle="1" w:styleId="60">
    <w:name w:val="标题 6 字符"/>
    <w:basedOn w:val="a0"/>
    <w:link w:val="6"/>
    <w:uiPriority w:val="9"/>
    <w:semiHidden/>
    <w:rsid w:val="00D83F62"/>
    <w:rPr>
      <w:rFonts w:cstheme="majorBidi"/>
      <w:b/>
      <w:bCs/>
      <w:color w:val="0F4761" w:themeColor="accent1" w:themeShade="BF"/>
    </w:rPr>
  </w:style>
  <w:style w:type="character" w:customStyle="1" w:styleId="70">
    <w:name w:val="标题 7 字符"/>
    <w:basedOn w:val="a0"/>
    <w:link w:val="7"/>
    <w:uiPriority w:val="9"/>
    <w:semiHidden/>
    <w:rsid w:val="00D83F62"/>
    <w:rPr>
      <w:rFonts w:cstheme="majorBidi"/>
      <w:b/>
      <w:bCs/>
      <w:color w:val="595959" w:themeColor="text1" w:themeTint="A6"/>
    </w:rPr>
  </w:style>
  <w:style w:type="character" w:customStyle="1" w:styleId="80">
    <w:name w:val="标题 8 字符"/>
    <w:basedOn w:val="a0"/>
    <w:link w:val="8"/>
    <w:uiPriority w:val="9"/>
    <w:semiHidden/>
    <w:rsid w:val="00D83F62"/>
    <w:rPr>
      <w:rFonts w:cstheme="majorBidi"/>
      <w:color w:val="595959" w:themeColor="text1" w:themeTint="A6"/>
    </w:rPr>
  </w:style>
  <w:style w:type="character" w:customStyle="1" w:styleId="90">
    <w:name w:val="标题 9 字符"/>
    <w:basedOn w:val="a0"/>
    <w:link w:val="9"/>
    <w:uiPriority w:val="9"/>
    <w:semiHidden/>
    <w:rsid w:val="00D83F62"/>
    <w:rPr>
      <w:rFonts w:eastAsiaTheme="majorEastAsia" w:cstheme="majorBidi"/>
      <w:color w:val="595959" w:themeColor="text1" w:themeTint="A6"/>
    </w:rPr>
  </w:style>
  <w:style w:type="paragraph" w:styleId="a3">
    <w:name w:val="Title"/>
    <w:basedOn w:val="a"/>
    <w:next w:val="a"/>
    <w:link w:val="a4"/>
    <w:uiPriority w:val="10"/>
    <w:qFormat/>
    <w:rsid w:val="00D83F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F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F62"/>
    <w:pPr>
      <w:spacing w:before="160" w:after="160"/>
      <w:jc w:val="center"/>
    </w:pPr>
    <w:rPr>
      <w:i/>
      <w:iCs/>
      <w:color w:val="404040" w:themeColor="text1" w:themeTint="BF"/>
    </w:rPr>
  </w:style>
  <w:style w:type="character" w:customStyle="1" w:styleId="a8">
    <w:name w:val="引用 字符"/>
    <w:basedOn w:val="a0"/>
    <w:link w:val="a7"/>
    <w:uiPriority w:val="29"/>
    <w:rsid w:val="00D83F62"/>
    <w:rPr>
      <w:i/>
      <w:iCs/>
      <w:color w:val="404040" w:themeColor="text1" w:themeTint="BF"/>
    </w:rPr>
  </w:style>
  <w:style w:type="paragraph" w:styleId="a9">
    <w:name w:val="List Paragraph"/>
    <w:basedOn w:val="a"/>
    <w:uiPriority w:val="34"/>
    <w:qFormat/>
    <w:rsid w:val="00D83F62"/>
    <w:pPr>
      <w:ind w:left="720"/>
      <w:contextualSpacing/>
    </w:pPr>
  </w:style>
  <w:style w:type="character" w:styleId="aa">
    <w:name w:val="Intense Emphasis"/>
    <w:basedOn w:val="a0"/>
    <w:uiPriority w:val="21"/>
    <w:qFormat/>
    <w:rsid w:val="00D83F62"/>
    <w:rPr>
      <w:i/>
      <w:iCs/>
      <w:color w:val="0F4761" w:themeColor="accent1" w:themeShade="BF"/>
    </w:rPr>
  </w:style>
  <w:style w:type="paragraph" w:styleId="ab">
    <w:name w:val="Intense Quote"/>
    <w:basedOn w:val="a"/>
    <w:next w:val="a"/>
    <w:link w:val="ac"/>
    <w:uiPriority w:val="30"/>
    <w:qFormat/>
    <w:rsid w:val="00D83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83F62"/>
    <w:rPr>
      <w:i/>
      <w:iCs/>
      <w:color w:val="0F4761" w:themeColor="accent1" w:themeShade="BF"/>
    </w:rPr>
  </w:style>
  <w:style w:type="character" w:styleId="ad">
    <w:name w:val="Intense Reference"/>
    <w:basedOn w:val="a0"/>
    <w:uiPriority w:val="32"/>
    <w:qFormat/>
    <w:rsid w:val="00D83F62"/>
    <w:rPr>
      <w:b/>
      <w:bCs/>
      <w:smallCaps/>
      <w:color w:val="0F4761" w:themeColor="accent1" w:themeShade="BF"/>
      <w:spacing w:val="5"/>
    </w:rPr>
  </w:style>
  <w:style w:type="paragraph" w:styleId="ae">
    <w:name w:val="header"/>
    <w:basedOn w:val="a"/>
    <w:link w:val="af"/>
    <w:uiPriority w:val="99"/>
    <w:unhideWhenUsed/>
    <w:rsid w:val="004A35E2"/>
    <w:pPr>
      <w:tabs>
        <w:tab w:val="center" w:pos="4153"/>
        <w:tab w:val="right" w:pos="8306"/>
      </w:tabs>
      <w:snapToGrid w:val="0"/>
      <w:jc w:val="center"/>
    </w:pPr>
    <w:rPr>
      <w:sz w:val="18"/>
      <w:szCs w:val="18"/>
    </w:rPr>
  </w:style>
  <w:style w:type="character" w:customStyle="1" w:styleId="af">
    <w:name w:val="页眉 字符"/>
    <w:basedOn w:val="a0"/>
    <w:link w:val="ae"/>
    <w:uiPriority w:val="99"/>
    <w:rsid w:val="004A35E2"/>
    <w:rPr>
      <w:sz w:val="18"/>
      <w:szCs w:val="18"/>
    </w:rPr>
  </w:style>
  <w:style w:type="paragraph" w:styleId="af0">
    <w:name w:val="footer"/>
    <w:basedOn w:val="a"/>
    <w:link w:val="af1"/>
    <w:uiPriority w:val="99"/>
    <w:unhideWhenUsed/>
    <w:rsid w:val="004A35E2"/>
    <w:pPr>
      <w:tabs>
        <w:tab w:val="center" w:pos="4153"/>
        <w:tab w:val="right" w:pos="8306"/>
      </w:tabs>
      <w:snapToGrid w:val="0"/>
      <w:jc w:val="left"/>
    </w:pPr>
    <w:rPr>
      <w:sz w:val="18"/>
      <w:szCs w:val="18"/>
    </w:rPr>
  </w:style>
  <w:style w:type="character" w:customStyle="1" w:styleId="af1">
    <w:name w:val="页脚 字符"/>
    <w:basedOn w:val="a0"/>
    <w:link w:val="af0"/>
    <w:uiPriority w:val="99"/>
    <w:rsid w:val="004A35E2"/>
    <w:rPr>
      <w:sz w:val="18"/>
      <w:szCs w:val="18"/>
    </w:rPr>
  </w:style>
  <w:style w:type="paragraph" w:styleId="af2">
    <w:name w:val="Normal (Web)"/>
    <w:basedOn w:val="a"/>
    <w:uiPriority w:val="99"/>
    <w:rsid w:val="004A35E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2025-10-10T02:09:00Z</dcterms:created>
  <dcterms:modified xsi:type="dcterms:W3CDTF">2025-10-13T00:35:00Z</dcterms:modified>
</cp:coreProperties>
</file>