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603" w:rsidRPr="00032670" w:rsidRDefault="003A2603" w:rsidP="003A2603">
      <w:pPr>
        <w:pStyle w:val="1"/>
        <w:widowControl/>
        <w:snapToGrid w:val="0"/>
        <w:spacing w:before="0" w:after="0" w:line="360" w:lineRule="auto"/>
        <w:jc w:val="center"/>
        <w:rPr>
          <w:rFonts w:ascii="宋体" w:hAnsi="宋体" w:hint="eastAsia"/>
        </w:rPr>
      </w:pPr>
      <w:r w:rsidRPr="00032670">
        <w:rPr>
          <w:rFonts w:ascii="宋体" w:hAnsi="宋体" w:hint="eastAsia"/>
        </w:rPr>
        <w:t>采购需求及技术规格要求</w:t>
      </w:r>
    </w:p>
    <w:p w:rsidR="003A2603" w:rsidRPr="00032670" w:rsidRDefault="003A2603" w:rsidP="003A2603">
      <w:pPr>
        <w:adjustRightInd w:val="0"/>
        <w:snapToGrid w:val="0"/>
        <w:spacing w:beforeLines="50" w:before="156" w:line="360" w:lineRule="auto"/>
        <w:rPr>
          <w:b/>
          <w:sz w:val="24"/>
        </w:rPr>
      </w:pPr>
      <w:r w:rsidRPr="00032670">
        <w:rPr>
          <w:b/>
          <w:sz w:val="24"/>
        </w:rPr>
        <w:t>1</w:t>
      </w:r>
      <w:r w:rsidRPr="00032670">
        <w:rPr>
          <w:rFonts w:hint="eastAsia"/>
          <w:b/>
          <w:sz w:val="24"/>
        </w:rPr>
        <w:t>、</w:t>
      </w:r>
      <w:r w:rsidRPr="00032670">
        <w:rPr>
          <w:b/>
          <w:sz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3378"/>
        <w:gridCol w:w="1239"/>
        <w:gridCol w:w="1294"/>
        <w:gridCol w:w="1790"/>
      </w:tblGrid>
      <w:tr w:rsidR="003A2603" w:rsidRPr="00032670" w:rsidTr="00AF0F22">
        <w:trPr>
          <w:jc w:val="center"/>
        </w:trPr>
        <w:tc>
          <w:tcPr>
            <w:tcW w:w="804" w:type="dxa"/>
            <w:vAlign w:val="center"/>
          </w:tcPr>
          <w:p w:rsidR="003A2603" w:rsidRPr="00032670" w:rsidRDefault="003A2603" w:rsidP="00AF0F22">
            <w:pPr>
              <w:adjustRightInd w:val="0"/>
              <w:snapToGrid w:val="0"/>
              <w:jc w:val="center"/>
              <w:rPr>
                <w:rFonts w:ascii="宋体" w:hAnsi="宋体"/>
                <w:szCs w:val="21"/>
              </w:rPr>
            </w:pPr>
            <w:r w:rsidRPr="00032670">
              <w:rPr>
                <w:rFonts w:ascii="宋体" w:hAnsi="宋体" w:hint="eastAsia"/>
                <w:szCs w:val="21"/>
              </w:rPr>
              <w:t>序号</w:t>
            </w:r>
          </w:p>
        </w:tc>
        <w:tc>
          <w:tcPr>
            <w:tcW w:w="3378" w:type="dxa"/>
            <w:vAlign w:val="center"/>
          </w:tcPr>
          <w:p w:rsidR="003A2603" w:rsidRPr="00032670" w:rsidRDefault="003A2603" w:rsidP="00AF0F22">
            <w:pPr>
              <w:adjustRightInd w:val="0"/>
              <w:snapToGrid w:val="0"/>
              <w:jc w:val="center"/>
              <w:rPr>
                <w:rFonts w:ascii="宋体" w:hAnsi="宋体"/>
                <w:szCs w:val="21"/>
              </w:rPr>
            </w:pPr>
            <w:r w:rsidRPr="00032670">
              <w:rPr>
                <w:rFonts w:ascii="宋体" w:hAnsi="宋体" w:hint="eastAsia"/>
                <w:szCs w:val="21"/>
              </w:rPr>
              <w:t>货物名称</w:t>
            </w:r>
          </w:p>
        </w:tc>
        <w:tc>
          <w:tcPr>
            <w:tcW w:w="1239" w:type="dxa"/>
            <w:vAlign w:val="center"/>
          </w:tcPr>
          <w:p w:rsidR="003A2603" w:rsidRPr="00032670" w:rsidRDefault="003A2603" w:rsidP="00AF0F22">
            <w:pPr>
              <w:adjustRightInd w:val="0"/>
              <w:snapToGrid w:val="0"/>
              <w:jc w:val="center"/>
              <w:rPr>
                <w:rFonts w:ascii="宋体" w:hAnsi="宋体"/>
                <w:szCs w:val="21"/>
              </w:rPr>
            </w:pPr>
            <w:r w:rsidRPr="00032670">
              <w:rPr>
                <w:rFonts w:ascii="宋体" w:hAnsi="宋体" w:hint="eastAsia"/>
                <w:szCs w:val="21"/>
              </w:rPr>
              <w:t>数量（套）</w:t>
            </w:r>
          </w:p>
        </w:tc>
        <w:tc>
          <w:tcPr>
            <w:tcW w:w="1294" w:type="dxa"/>
            <w:vAlign w:val="center"/>
          </w:tcPr>
          <w:p w:rsidR="003A2603" w:rsidRPr="00032670" w:rsidRDefault="003A2603" w:rsidP="00AF0F22">
            <w:pPr>
              <w:adjustRightInd w:val="0"/>
              <w:snapToGrid w:val="0"/>
              <w:jc w:val="center"/>
              <w:rPr>
                <w:rFonts w:ascii="宋体" w:hAnsi="宋体"/>
                <w:szCs w:val="21"/>
              </w:rPr>
            </w:pPr>
            <w:r w:rsidRPr="00032670">
              <w:rPr>
                <w:rFonts w:ascii="宋体" w:hAnsi="宋体" w:hint="eastAsia"/>
                <w:szCs w:val="21"/>
              </w:rPr>
              <w:t>预算（万元）</w:t>
            </w:r>
          </w:p>
        </w:tc>
        <w:tc>
          <w:tcPr>
            <w:tcW w:w="1790" w:type="dxa"/>
            <w:vAlign w:val="center"/>
          </w:tcPr>
          <w:p w:rsidR="003A2603" w:rsidRPr="00032670" w:rsidRDefault="003A2603" w:rsidP="00AF0F22">
            <w:pPr>
              <w:adjustRightInd w:val="0"/>
              <w:snapToGrid w:val="0"/>
              <w:jc w:val="center"/>
              <w:rPr>
                <w:rFonts w:ascii="宋体" w:hAnsi="宋体"/>
                <w:szCs w:val="21"/>
              </w:rPr>
            </w:pPr>
            <w:r w:rsidRPr="00032670">
              <w:rPr>
                <w:rFonts w:ascii="宋体" w:hAnsi="宋体" w:hint="eastAsia"/>
                <w:szCs w:val="21"/>
              </w:rPr>
              <w:t>交货期</w:t>
            </w:r>
          </w:p>
        </w:tc>
      </w:tr>
      <w:tr w:rsidR="003A2603" w:rsidRPr="00032670" w:rsidTr="00AF0F22">
        <w:trPr>
          <w:trHeight w:val="331"/>
          <w:jc w:val="center"/>
        </w:trPr>
        <w:tc>
          <w:tcPr>
            <w:tcW w:w="804" w:type="dxa"/>
            <w:vAlign w:val="center"/>
          </w:tcPr>
          <w:p w:rsidR="003A2603" w:rsidRPr="00032670" w:rsidRDefault="003A2603" w:rsidP="00AF0F22">
            <w:pPr>
              <w:adjustRightInd w:val="0"/>
              <w:snapToGrid w:val="0"/>
              <w:jc w:val="center"/>
              <w:rPr>
                <w:rFonts w:ascii="宋体" w:hAnsi="宋体"/>
                <w:szCs w:val="21"/>
              </w:rPr>
            </w:pPr>
            <w:r w:rsidRPr="00032670">
              <w:rPr>
                <w:rFonts w:ascii="宋体" w:hAnsi="宋体"/>
                <w:szCs w:val="21"/>
              </w:rPr>
              <w:t>0</w:t>
            </w:r>
            <w:r w:rsidRPr="00032670">
              <w:rPr>
                <w:rFonts w:ascii="宋体" w:hAnsi="宋体" w:hint="eastAsia"/>
                <w:szCs w:val="21"/>
              </w:rPr>
              <w:t>1</w:t>
            </w:r>
          </w:p>
        </w:tc>
        <w:tc>
          <w:tcPr>
            <w:tcW w:w="3378" w:type="dxa"/>
            <w:vAlign w:val="center"/>
          </w:tcPr>
          <w:p w:rsidR="003A2603" w:rsidRPr="00032670" w:rsidRDefault="003A2603" w:rsidP="00AF0F22">
            <w:pPr>
              <w:adjustRightInd w:val="0"/>
              <w:snapToGrid w:val="0"/>
              <w:jc w:val="center"/>
              <w:rPr>
                <w:rFonts w:ascii="宋体" w:hAnsi="宋体" w:hint="eastAsia"/>
                <w:szCs w:val="21"/>
              </w:rPr>
            </w:pPr>
            <w:r w:rsidRPr="00032670">
              <w:rPr>
                <w:rFonts w:ascii="宋体" w:hAnsi="宋体"/>
                <w:szCs w:val="21"/>
              </w:rPr>
              <w:t>VPI</w:t>
            </w:r>
            <w:r w:rsidRPr="00032670">
              <w:rPr>
                <w:rFonts w:ascii="宋体" w:hAnsi="宋体" w:hint="eastAsia"/>
                <w:szCs w:val="21"/>
              </w:rPr>
              <w:t>抽气及打压系统</w:t>
            </w:r>
          </w:p>
        </w:tc>
        <w:tc>
          <w:tcPr>
            <w:tcW w:w="1239" w:type="dxa"/>
            <w:vAlign w:val="center"/>
          </w:tcPr>
          <w:p w:rsidR="003A2603" w:rsidRPr="00032670" w:rsidRDefault="003A2603" w:rsidP="00AF0F22">
            <w:pPr>
              <w:adjustRightInd w:val="0"/>
              <w:snapToGrid w:val="0"/>
              <w:jc w:val="center"/>
              <w:rPr>
                <w:rFonts w:ascii="宋体" w:hAnsi="宋体"/>
                <w:szCs w:val="21"/>
              </w:rPr>
            </w:pPr>
            <w:r w:rsidRPr="00032670">
              <w:rPr>
                <w:rFonts w:ascii="宋体" w:hAnsi="宋体" w:hint="eastAsia"/>
                <w:szCs w:val="21"/>
              </w:rPr>
              <w:t>1</w:t>
            </w:r>
          </w:p>
        </w:tc>
        <w:tc>
          <w:tcPr>
            <w:tcW w:w="1294" w:type="dxa"/>
            <w:vMerge w:val="restart"/>
            <w:vAlign w:val="center"/>
          </w:tcPr>
          <w:p w:rsidR="003A2603" w:rsidRPr="00032670" w:rsidRDefault="003A2603" w:rsidP="00AF0F22">
            <w:pPr>
              <w:adjustRightInd w:val="0"/>
              <w:snapToGrid w:val="0"/>
              <w:jc w:val="center"/>
              <w:rPr>
                <w:rFonts w:ascii="宋体" w:hAnsi="宋体"/>
                <w:szCs w:val="21"/>
              </w:rPr>
            </w:pPr>
            <w:r w:rsidRPr="00032670">
              <w:rPr>
                <w:rFonts w:ascii="宋体" w:hAnsi="宋体" w:hint="eastAsia"/>
                <w:szCs w:val="21"/>
              </w:rPr>
              <w:t>80</w:t>
            </w:r>
            <w:r w:rsidRPr="00032670">
              <w:rPr>
                <w:rFonts w:ascii="宋体" w:hAnsi="宋体"/>
                <w:szCs w:val="21"/>
              </w:rPr>
              <w:t>0</w:t>
            </w:r>
          </w:p>
        </w:tc>
        <w:tc>
          <w:tcPr>
            <w:tcW w:w="1790" w:type="dxa"/>
            <w:vMerge w:val="restart"/>
            <w:vAlign w:val="center"/>
          </w:tcPr>
          <w:p w:rsidR="003A2603" w:rsidRPr="00032670" w:rsidRDefault="003A2603" w:rsidP="00AF0F22">
            <w:pPr>
              <w:adjustRightInd w:val="0"/>
              <w:snapToGrid w:val="0"/>
              <w:jc w:val="center"/>
              <w:rPr>
                <w:rFonts w:ascii="宋体" w:hAnsi="宋体" w:hint="eastAsia"/>
                <w:szCs w:val="21"/>
              </w:rPr>
            </w:pPr>
            <w:r w:rsidRPr="00032670">
              <w:rPr>
                <w:rFonts w:ascii="宋体" w:hAnsi="宋体" w:hint="eastAsia"/>
                <w:szCs w:val="21"/>
              </w:rPr>
              <w:t>5个月内</w:t>
            </w:r>
          </w:p>
        </w:tc>
      </w:tr>
      <w:tr w:rsidR="003A2603" w:rsidRPr="00032670" w:rsidTr="00AF0F22">
        <w:trPr>
          <w:trHeight w:val="331"/>
          <w:jc w:val="center"/>
        </w:trPr>
        <w:tc>
          <w:tcPr>
            <w:tcW w:w="804" w:type="dxa"/>
            <w:vAlign w:val="center"/>
          </w:tcPr>
          <w:p w:rsidR="003A2603" w:rsidRPr="00032670" w:rsidRDefault="003A2603" w:rsidP="00AF0F22">
            <w:pPr>
              <w:adjustRightInd w:val="0"/>
              <w:snapToGrid w:val="0"/>
              <w:jc w:val="center"/>
              <w:rPr>
                <w:rFonts w:ascii="宋体" w:hAnsi="宋体" w:hint="eastAsia"/>
                <w:szCs w:val="21"/>
              </w:rPr>
            </w:pPr>
            <w:r w:rsidRPr="00032670">
              <w:rPr>
                <w:rFonts w:ascii="宋体" w:hAnsi="宋体"/>
                <w:szCs w:val="21"/>
              </w:rPr>
              <w:t>0</w:t>
            </w:r>
            <w:r w:rsidRPr="00032670">
              <w:rPr>
                <w:rFonts w:ascii="宋体" w:hAnsi="宋体" w:hint="eastAsia"/>
                <w:szCs w:val="21"/>
              </w:rPr>
              <w:t>2</w:t>
            </w:r>
          </w:p>
        </w:tc>
        <w:tc>
          <w:tcPr>
            <w:tcW w:w="3378" w:type="dxa"/>
            <w:vAlign w:val="center"/>
          </w:tcPr>
          <w:p w:rsidR="003A2603" w:rsidRPr="00032670" w:rsidRDefault="003A2603" w:rsidP="00AF0F22">
            <w:pPr>
              <w:adjustRightInd w:val="0"/>
              <w:snapToGrid w:val="0"/>
              <w:jc w:val="center"/>
              <w:rPr>
                <w:rFonts w:ascii="宋体" w:hAnsi="宋体" w:hint="eastAsia"/>
                <w:szCs w:val="21"/>
              </w:rPr>
            </w:pPr>
            <w:r w:rsidRPr="00032670">
              <w:rPr>
                <w:rFonts w:ascii="宋体" w:hAnsi="宋体" w:hint="eastAsia"/>
                <w:szCs w:val="21"/>
              </w:rPr>
              <w:t>V</w:t>
            </w:r>
            <w:r w:rsidRPr="00032670">
              <w:rPr>
                <w:rFonts w:ascii="宋体" w:hAnsi="宋体"/>
                <w:szCs w:val="21"/>
              </w:rPr>
              <w:t>PI</w:t>
            </w:r>
            <w:r w:rsidRPr="00032670">
              <w:rPr>
                <w:rFonts w:ascii="宋体" w:hAnsi="宋体" w:hint="eastAsia"/>
                <w:szCs w:val="21"/>
              </w:rPr>
              <w:t>内外部加热电源</w:t>
            </w:r>
          </w:p>
        </w:tc>
        <w:tc>
          <w:tcPr>
            <w:tcW w:w="1239" w:type="dxa"/>
            <w:vAlign w:val="center"/>
          </w:tcPr>
          <w:p w:rsidR="003A2603" w:rsidRPr="00032670" w:rsidRDefault="003A2603" w:rsidP="00AF0F22">
            <w:pPr>
              <w:adjustRightInd w:val="0"/>
              <w:snapToGrid w:val="0"/>
              <w:jc w:val="center"/>
              <w:rPr>
                <w:rFonts w:ascii="宋体" w:hAnsi="宋体"/>
                <w:szCs w:val="21"/>
              </w:rPr>
            </w:pPr>
            <w:r w:rsidRPr="00032670">
              <w:rPr>
                <w:rFonts w:ascii="宋体" w:hAnsi="宋体" w:hint="eastAsia"/>
                <w:szCs w:val="21"/>
              </w:rPr>
              <w:t>2</w:t>
            </w:r>
          </w:p>
        </w:tc>
        <w:tc>
          <w:tcPr>
            <w:tcW w:w="1294" w:type="dxa"/>
            <w:vMerge/>
            <w:vAlign w:val="center"/>
          </w:tcPr>
          <w:p w:rsidR="003A2603" w:rsidRPr="00032670" w:rsidRDefault="003A2603" w:rsidP="00AF0F22">
            <w:pPr>
              <w:adjustRightInd w:val="0"/>
              <w:snapToGrid w:val="0"/>
              <w:jc w:val="center"/>
              <w:rPr>
                <w:rFonts w:ascii="宋体" w:hAnsi="宋体"/>
                <w:szCs w:val="21"/>
              </w:rPr>
            </w:pPr>
          </w:p>
        </w:tc>
        <w:tc>
          <w:tcPr>
            <w:tcW w:w="1790" w:type="dxa"/>
            <w:vMerge/>
            <w:vAlign w:val="center"/>
          </w:tcPr>
          <w:p w:rsidR="003A2603" w:rsidRPr="00032670" w:rsidRDefault="003A2603" w:rsidP="00AF0F22">
            <w:pPr>
              <w:adjustRightInd w:val="0"/>
              <w:snapToGrid w:val="0"/>
              <w:jc w:val="center"/>
              <w:rPr>
                <w:rFonts w:ascii="宋体" w:hAnsi="宋体" w:hint="eastAsia"/>
                <w:szCs w:val="21"/>
              </w:rPr>
            </w:pPr>
          </w:p>
        </w:tc>
      </w:tr>
      <w:tr w:rsidR="003A2603" w:rsidRPr="00032670" w:rsidTr="00AF0F22">
        <w:trPr>
          <w:trHeight w:val="331"/>
          <w:jc w:val="center"/>
        </w:trPr>
        <w:tc>
          <w:tcPr>
            <w:tcW w:w="804" w:type="dxa"/>
            <w:vAlign w:val="center"/>
          </w:tcPr>
          <w:p w:rsidR="003A2603" w:rsidRPr="00032670" w:rsidRDefault="003A2603" w:rsidP="00AF0F22">
            <w:pPr>
              <w:adjustRightInd w:val="0"/>
              <w:snapToGrid w:val="0"/>
              <w:jc w:val="center"/>
              <w:rPr>
                <w:rFonts w:ascii="宋体" w:hAnsi="宋体"/>
                <w:szCs w:val="21"/>
              </w:rPr>
            </w:pPr>
            <w:r w:rsidRPr="00032670">
              <w:rPr>
                <w:rFonts w:ascii="宋体" w:hAnsi="宋体" w:hint="eastAsia"/>
                <w:szCs w:val="21"/>
              </w:rPr>
              <w:t>03</w:t>
            </w:r>
          </w:p>
        </w:tc>
        <w:tc>
          <w:tcPr>
            <w:tcW w:w="3378" w:type="dxa"/>
            <w:vAlign w:val="center"/>
          </w:tcPr>
          <w:p w:rsidR="003A2603" w:rsidRPr="00032670" w:rsidRDefault="003A2603" w:rsidP="00AF0F22">
            <w:pPr>
              <w:adjustRightInd w:val="0"/>
              <w:snapToGrid w:val="0"/>
              <w:jc w:val="center"/>
              <w:rPr>
                <w:rFonts w:ascii="宋体" w:hAnsi="宋体" w:hint="eastAsia"/>
                <w:szCs w:val="21"/>
              </w:rPr>
            </w:pPr>
            <w:proofErr w:type="gramStart"/>
            <w:r w:rsidRPr="00032670">
              <w:rPr>
                <w:rFonts w:ascii="宋体" w:hAnsi="宋体" w:hint="eastAsia"/>
                <w:szCs w:val="21"/>
              </w:rPr>
              <w:t>混胶脱气</w:t>
            </w:r>
            <w:proofErr w:type="gramEnd"/>
            <w:r w:rsidRPr="00032670">
              <w:rPr>
                <w:rFonts w:ascii="宋体" w:hAnsi="宋体" w:hint="eastAsia"/>
                <w:szCs w:val="21"/>
              </w:rPr>
              <w:t>设备</w:t>
            </w:r>
          </w:p>
        </w:tc>
        <w:tc>
          <w:tcPr>
            <w:tcW w:w="1239" w:type="dxa"/>
            <w:vAlign w:val="center"/>
          </w:tcPr>
          <w:p w:rsidR="003A2603" w:rsidRPr="00032670" w:rsidRDefault="003A2603" w:rsidP="00AF0F22">
            <w:pPr>
              <w:adjustRightInd w:val="0"/>
              <w:snapToGrid w:val="0"/>
              <w:jc w:val="center"/>
              <w:rPr>
                <w:rFonts w:ascii="宋体" w:hAnsi="宋体" w:hint="eastAsia"/>
                <w:szCs w:val="21"/>
              </w:rPr>
            </w:pPr>
            <w:r w:rsidRPr="00032670">
              <w:rPr>
                <w:rFonts w:ascii="宋体" w:hAnsi="宋体" w:hint="eastAsia"/>
                <w:szCs w:val="21"/>
              </w:rPr>
              <w:t>1</w:t>
            </w:r>
          </w:p>
        </w:tc>
        <w:tc>
          <w:tcPr>
            <w:tcW w:w="1294" w:type="dxa"/>
            <w:vMerge/>
            <w:vAlign w:val="center"/>
          </w:tcPr>
          <w:p w:rsidR="003A2603" w:rsidRPr="00032670" w:rsidRDefault="003A2603" w:rsidP="00AF0F22">
            <w:pPr>
              <w:adjustRightInd w:val="0"/>
              <w:snapToGrid w:val="0"/>
              <w:jc w:val="center"/>
              <w:rPr>
                <w:rFonts w:ascii="宋体" w:hAnsi="宋体"/>
                <w:szCs w:val="21"/>
              </w:rPr>
            </w:pPr>
          </w:p>
        </w:tc>
        <w:tc>
          <w:tcPr>
            <w:tcW w:w="1790" w:type="dxa"/>
            <w:vMerge/>
            <w:vAlign w:val="center"/>
          </w:tcPr>
          <w:p w:rsidR="003A2603" w:rsidRPr="00032670" w:rsidRDefault="003A2603" w:rsidP="00AF0F22">
            <w:pPr>
              <w:adjustRightInd w:val="0"/>
              <w:snapToGrid w:val="0"/>
              <w:jc w:val="center"/>
              <w:rPr>
                <w:rFonts w:ascii="宋体" w:hAnsi="宋体" w:hint="eastAsia"/>
                <w:szCs w:val="21"/>
              </w:rPr>
            </w:pPr>
          </w:p>
        </w:tc>
      </w:tr>
    </w:tbl>
    <w:p w:rsidR="003A2603" w:rsidRPr="00032670" w:rsidRDefault="003A2603" w:rsidP="003A2603">
      <w:pPr>
        <w:adjustRightInd w:val="0"/>
        <w:snapToGrid w:val="0"/>
        <w:spacing w:line="360" w:lineRule="auto"/>
        <w:ind w:firstLineChars="200" w:firstLine="482"/>
        <w:rPr>
          <w:rFonts w:hint="eastAsia"/>
          <w:b/>
          <w:sz w:val="24"/>
        </w:rPr>
      </w:pPr>
      <w:bookmarkStart w:id="0" w:name="_Toc12010815"/>
      <w:bookmarkStart w:id="1" w:name="_Toc532807472"/>
      <w:bookmarkStart w:id="2" w:name="_Toc257021215"/>
      <w:bookmarkStart w:id="3" w:name="_Toc509153917"/>
      <w:bookmarkStart w:id="4" w:name="_Toc30409514"/>
      <w:bookmarkStart w:id="5" w:name="_Toc12010788"/>
    </w:p>
    <w:p w:rsidR="003A2603" w:rsidRPr="00032670" w:rsidRDefault="003A2603" w:rsidP="003A2603">
      <w:pPr>
        <w:adjustRightInd w:val="0"/>
        <w:snapToGrid w:val="0"/>
        <w:spacing w:beforeLines="50" w:before="156" w:line="360" w:lineRule="auto"/>
        <w:rPr>
          <w:rFonts w:hint="eastAsia"/>
          <w:b/>
          <w:sz w:val="24"/>
        </w:rPr>
      </w:pPr>
      <w:r w:rsidRPr="00032670">
        <w:rPr>
          <w:b/>
          <w:sz w:val="24"/>
        </w:rPr>
        <w:t>2</w:t>
      </w:r>
      <w:r w:rsidRPr="00032670">
        <w:rPr>
          <w:rFonts w:hint="eastAsia"/>
          <w:b/>
          <w:sz w:val="24"/>
        </w:rPr>
        <w:t>、</w:t>
      </w:r>
      <w:r w:rsidRPr="00032670">
        <w:rPr>
          <w:b/>
          <w:sz w:val="24"/>
        </w:rPr>
        <w:t>工程技术要求</w:t>
      </w:r>
      <w:bookmarkEnd w:id="0"/>
      <w:bookmarkEnd w:id="1"/>
      <w:bookmarkEnd w:id="2"/>
      <w:bookmarkEnd w:id="3"/>
      <w:bookmarkEnd w:id="4"/>
      <w:bookmarkEnd w:id="5"/>
    </w:p>
    <w:p w:rsidR="003A2603" w:rsidRPr="00032670" w:rsidRDefault="003A2603" w:rsidP="003A2603">
      <w:pPr>
        <w:pStyle w:val="2"/>
        <w:keepNext w:val="0"/>
        <w:keepLines w:val="0"/>
        <w:widowControl/>
        <w:numPr>
          <w:ilvl w:val="1"/>
          <w:numId w:val="0"/>
        </w:numPr>
        <w:adjustRightInd w:val="0"/>
        <w:snapToGrid w:val="0"/>
        <w:spacing w:beforeLines="50" w:before="156" w:after="0" w:line="360" w:lineRule="auto"/>
        <w:jc w:val="left"/>
        <w:rPr>
          <w:rFonts w:ascii="Times New Roman" w:hAnsi="Times New Roman"/>
          <w:bCs w:val="0"/>
          <w:sz w:val="24"/>
          <w:szCs w:val="24"/>
        </w:rPr>
      </w:pPr>
      <w:bookmarkStart w:id="6" w:name="_Toc155882940"/>
      <w:bookmarkStart w:id="7" w:name="_Toc653"/>
      <w:r w:rsidRPr="00032670">
        <w:rPr>
          <w:rFonts w:ascii="Times New Roman" w:hAnsi="Times New Roman" w:hint="eastAsia"/>
          <w:bCs w:val="0"/>
          <w:sz w:val="24"/>
          <w:szCs w:val="24"/>
        </w:rPr>
        <w:t>2.1</w:t>
      </w:r>
      <w:r w:rsidRPr="00032670">
        <w:rPr>
          <w:rFonts w:ascii="Times New Roman" w:hAnsi="Times New Roman"/>
          <w:bCs w:val="0"/>
          <w:sz w:val="24"/>
          <w:szCs w:val="24"/>
        </w:rPr>
        <w:t xml:space="preserve"> </w:t>
      </w:r>
      <w:r w:rsidRPr="00032670">
        <w:rPr>
          <w:rFonts w:ascii="Times New Roman" w:hAnsi="Times New Roman" w:hint="eastAsia"/>
          <w:bCs w:val="0"/>
          <w:sz w:val="24"/>
          <w:szCs w:val="24"/>
        </w:rPr>
        <w:t xml:space="preserve"> VPI</w:t>
      </w:r>
      <w:r w:rsidRPr="00032670">
        <w:rPr>
          <w:rFonts w:ascii="Times New Roman" w:hAnsi="Times New Roman" w:hint="eastAsia"/>
          <w:bCs w:val="0"/>
          <w:sz w:val="24"/>
          <w:szCs w:val="24"/>
        </w:rPr>
        <w:t>注胶及加热设备总体要求</w:t>
      </w:r>
      <w:bookmarkEnd w:id="6"/>
    </w:p>
    <w:p w:rsidR="003A2603" w:rsidRPr="00032670" w:rsidRDefault="003A2603" w:rsidP="003A2603">
      <w:pPr>
        <w:spacing w:line="360" w:lineRule="auto"/>
        <w:ind w:firstLine="480"/>
        <w:rPr>
          <w:szCs w:val="21"/>
        </w:rPr>
      </w:pPr>
      <w:r w:rsidRPr="00032670">
        <w:rPr>
          <w:rFonts w:hint="eastAsia"/>
          <w:szCs w:val="21"/>
        </w:rPr>
        <w:t>乙方需先准备</w:t>
      </w:r>
      <w:r w:rsidRPr="00032670">
        <w:rPr>
          <w:rFonts w:hint="eastAsia"/>
          <w:szCs w:val="21"/>
        </w:rPr>
        <w:t>P</w:t>
      </w:r>
      <w:r w:rsidRPr="00032670">
        <w:rPr>
          <w:szCs w:val="21"/>
        </w:rPr>
        <w:t>F</w:t>
      </w:r>
      <w:r w:rsidRPr="00032670">
        <w:rPr>
          <w:rFonts w:hint="eastAsia"/>
          <w:szCs w:val="21"/>
        </w:rPr>
        <w:t>线圈</w:t>
      </w:r>
      <w:r w:rsidRPr="00032670">
        <w:rPr>
          <w:rFonts w:hint="eastAsia"/>
          <w:szCs w:val="21"/>
        </w:rPr>
        <w:t>V</w:t>
      </w:r>
      <w:r w:rsidRPr="00032670">
        <w:rPr>
          <w:szCs w:val="21"/>
        </w:rPr>
        <w:t>PI</w:t>
      </w:r>
      <w:r w:rsidRPr="00032670">
        <w:rPr>
          <w:rFonts w:hint="eastAsia"/>
          <w:szCs w:val="21"/>
        </w:rPr>
        <w:t>技术方案评审，方案经甲方评审通过后方可开展</w:t>
      </w:r>
      <w:r w:rsidRPr="00032670">
        <w:rPr>
          <w:rFonts w:hint="eastAsia"/>
          <w:szCs w:val="21"/>
        </w:rPr>
        <w:t>PF VPI</w:t>
      </w:r>
      <w:r w:rsidRPr="00032670">
        <w:rPr>
          <w:rFonts w:hint="eastAsia"/>
          <w:szCs w:val="21"/>
        </w:rPr>
        <w:t>注胶及加热设备的搭</w:t>
      </w:r>
      <w:r w:rsidRPr="00032670">
        <w:rPr>
          <w:szCs w:val="21"/>
        </w:rPr>
        <w:t>建</w:t>
      </w:r>
      <w:r w:rsidRPr="00032670">
        <w:rPr>
          <w:rFonts w:hint="eastAsia"/>
          <w:szCs w:val="21"/>
        </w:rPr>
        <w:t>。</w:t>
      </w:r>
      <w:r w:rsidRPr="00032670">
        <w:rPr>
          <w:szCs w:val="21"/>
        </w:rPr>
        <w:t xml:space="preserve"> </w:t>
      </w:r>
      <w:r w:rsidRPr="00032670">
        <w:rPr>
          <w:rFonts w:hint="eastAsia"/>
          <w:szCs w:val="21"/>
        </w:rPr>
        <w:t>VPI</w:t>
      </w:r>
      <w:r w:rsidRPr="00032670">
        <w:rPr>
          <w:rFonts w:hint="eastAsia"/>
          <w:szCs w:val="21"/>
        </w:rPr>
        <w:t>注胶及加热设备的</w:t>
      </w:r>
      <w:proofErr w:type="gramStart"/>
      <w:r w:rsidRPr="00032670">
        <w:rPr>
          <w:rFonts w:hint="eastAsia"/>
          <w:szCs w:val="21"/>
        </w:rPr>
        <w:t>搭建</w:t>
      </w:r>
      <w:r w:rsidRPr="00032670">
        <w:rPr>
          <w:szCs w:val="21"/>
        </w:rPr>
        <w:t>须</w:t>
      </w:r>
      <w:r w:rsidRPr="00032670">
        <w:rPr>
          <w:rFonts w:hint="eastAsia"/>
          <w:szCs w:val="21"/>
        </w:rPr>
        <w:t>实现</w:t>
      </w:r>
      <w:proofErr w:type="gramEnd"/>
      <w:r w:rsidRPr="00032670">
        <w:rPr>
          <w:rFonts w:hint="eastAsia"/>
          <w:szCs w:val="21"/>
        </w:rPr>
        <w:t>如下功能：</w:t>
      </w:r>
    </w:p>
    <w:p w:rsidR="003A2603" w:rsidRPr="00032670" w:rsidRDefault="003A2603" w:rsidP="003A2603">
      <w:pPr>
        <w:widowControl/>
        <w:numPr>
          <w:ilvl w:val="0"/>
          <w:numId w:val="1"/>
        </w:numPr>
        <w:adjustRightInd w:val="0"/>
        <w:snapToGrid w:val="0"/>
        <w:spacing w:before="100" w:line="360" w:lineRule="auto"/>
        <w:rPr>
          <w:szCs w:val="32"/>
        </w:rPr>
      </w:pPr>
      <w:r w:rsidRPr="00032670">
        <w:rPr>
          <w:szCs w:val="32"/>
        </w:rPr>
        <w:t>抽气及打压系统</w:t>
      </w:r>
      <w:r w:rsidRPr="00032670">
        <w:rPr>
          <w:rFonts w:hint="eastAsia"/>
          <w:szCs w:val="32"/>
        </w:rPr>
        <w:t>须满足</w:t>
      </w:r>
      <w:r w:rsidRPr="00032670">
        <w:rPr>
          <w:szCs w:val="32"/>
        </w:rPr>
        <w:t>PF</w:t>
      </w:r>
      <w:r w:rsidRPr="00032670">
        <w:rPr>
          <w:szCs w:val="32"/>
        </w:rPr>
        <w:t>线圈</w:t>
      </w:r>
      <w:r w:rsidRPr="00032670">
        <w:rPr>
          <w:rFonts w:hint="eastAsia"/>
          <w:szCs w:val="32"/>
        </w:rPr>
        <w:t>所有绝缘制造</w:t>
      </w:r>
      <w:r w:rsidRPr="00032670">
        <w:rPr>
          <w:szCs w:val="32"/>
        </w:rPr>
        <w:t>工艺过程，为不锈钢</w:t>
      </w:r>
      <w:proofErr w:type="gramStart"/>
      <w:r w:rsidRPr="00032670">
        <w:rPr>
          <w:szCs w:val="32"/>
        </w:rPr>
        <w:t>软模提供</w:t>
      </w:r>
      <w:proofErr w:type="gramEnd"/>
      <w:r w:rsidRPr="00032670">
        <w:rPr>
          <w:szCs w:val="32"/>
        </w:rPr>
        <w:t>稳定真空环境，为注胶过程提供浸渍压力；</w:t>
      </w:r>
    </w:p>
    <w:p w:rsidR="003A2603" w:rsidRPr="00032670" w:rsidRDefault="003A2603" w:rsidP="003A2603">
      <w:pPr>
        <w:widowControl/>
        <w:numPr>
          <w:ilvl w:val="0"/>
          <w:numId w:val="1"/>
        </w:numPr>
        <w:adjustRightInd w:val="0"/>
        <w:snapToGrid w:val="0"/>
        <w:spacing w:before="100" w:line="360" w:lineRule="auto"/>
        <w:rPr>
          <w:szCs w:val="32"/>
        </w:rPr>
      </w:pPr>
      <w:r w:rsidRPr="00032670">
        <w:rPr>
          <w:rFonts w:hint="eastAsia"/>
          <w:szCs w:val="32"/>
        </w:rPr>
        <w:t>内外部加热电源满足线圈绝缘制造</w:t>
      </w:r>
      <w:r w:rsidRPr="00032670">
        <w:rPr>
          <w:szCs w:val="32"/>
        </w:rPr>
        <w:t>工艺过程，为树脂</w:t>
      </w:r>
      <w:r w:rsidRPr="00032670">
        <w:rPr>
          <w:szCs w:val="32"/>
        </w:rPr>
        <w:t>VPI</w:t>
      </w:r>
      <w:r w:rsidRPr="00032670">
        <w:rPr>
          <w:szCs w:val="32"/>
        </w:rPr>
        <w:t>、加热固化、降温过程提供稳定</w:t>
      </w:r>
      <w:r w:rsidRPr="00032670">
        <w:rPr>
          <w:rFonts w:hint="eastAsia"/>
          <w:szCs w:val="32"/>
        </w:rPr>
        <w:t>可靠</w:t>
      </w:r>
      <w:r w:rsidRPr="00032670">
        <w:rPr>
          <w:szCs w:val="32"/>
        </w:rPr>
        <w:t>的温度环境</w:t>
      </w:r>
      <w:r w:rsidRPr="00032670">
        <w:rPr>
          <w:rFonts w:hint="eastAsia"/>
          <w:szCs w:val="32"/>
        </w:rPr>
        <w:t>；</w:t>
      </w:r>
    </w:p>
    <w:p w:rsidR="003A2603" w:rsidRPr="00032670" w:rsidRDefault="003A2603" w:rsidP="003A2603">
      <w:pPr>
        <w:widowControl/>
        <w:numPr>
          <w:ilvl w:val="0"/>
          <w:numId w:val="1"/>
        </w:numPr>
        <w:adjustRightInd w:val="0"/>
        <w:snapToGrid w:val="0"/>
        <w:spacing w:before="100" w:line="360" w:lineRule="auto"/>
        <w:rPr>
          <w:szCs w:val="32"/>
        </w:rPr>
      </w:pPr>
      <w:proofErr w:type="gramStart"/>
      <w:r w:rsidRPr="00032670">
        <w:rPr>
          <w:szCs w:val="32"/>
        </w:rPr>
        <w:t>混胶脱气</w:t>
      </w:r>
      <w:proofErr w:type="gramEnd"/>
      <w:r w:rsidRPr="00032670">
        <w:rPr>
          <w:szCs w:val="32"/>
        </w:rPr>
        <w:t>设备</w:t>
      </w:r>
      <w:r w:rsidRPr="00032670">
        <w:rPr>
          <w:rFonts w:hint="eastAsia"/>
          <w:szCs w:val="32"/>
        </w:rPr>
        <w:t>须满足</w:t>
      </w:r>
      <w:r w:rsidRPr="00032670">
        <w:rPr>
          <w:szCs w:val="32"/>
        </w:rPr>
        <w:t>PF</w:t>
      </w:r>
      <w:r w:rsidRPr="00032670">
        <w:rPr>
          <w:szCs w:val="32"/>
        </w:rPr>
        <w:t>线圈</w:t>
      </w:r>
      <w:r w:rsidRPr="00032670">
        <w:rPr>
          <w:rFonts w:hint="eastAsia"/>
          <w:szCs w:val="32"/>
        </w:rPr>
        <w:t>绝缘制造所有</w:t>
      </w:r>
      <w:r w:rsidRPr="00032670">
        <w:rPr>
          <w:szCs w:val="32"/>
        </w:rPr>
        <w:t>过程，完成对环氧树脂、固化剂的在线真空脱气、定量计量、按设定混合比进行静态混合，并具备连续真空灌注功能。</w:t>
      </w:r>
    </w:p>
    <w:p w:rsidR="003A2603" w:rsidRPr="00032670" w:rsidRDefault="003A2603" w:rsidP="003A2603">
      <w:pPr>
        <w:pStyle w:val="2"/>
        <w:keepNext w:val="0"/>
        <w:keepLines w:val="0"/>
        <w:widowControl/>
        <w:numPr>
          <w:ilvl w:val="1"/>
          <w:numId w:val="0"/>
        </w:numPr>
        <w:adjustRightInd w:val="0"/>
        <w:snapToGrid w:val="0"/>
        <w:spacing w:beforeLines="50" w:before="156" w:after="0" w:line="360" w:lineRule="auto"/>
        <w:jc w:val="left"/>
        <w:rPr>
          <w:rFonts w:ascii="Times New Roman" w:hAnsi="Times New Roman"/>
          <w:bCs w:val="0"/>
          <w:sz w:val="24"/>
          <w:szCs w:val="24"/>
        </w:rPr>
      </w:pPr>
      <w:bookmarkStart w:id="8" w:name="_Toc155882941"/>
      <w:bookmarkStart w:id="9" w:name="_Toc3828"/>
      <w:r w:rsidRPr="00032670">
        <w:rPr>
          <w:rFonts w:ascii="Times New Roman" w:hAnsi="Times New Roman" w:hint="eastAsia"/>
          <w:bCs w:val="0"/>
          <w:sz w:val="24"/>
          <w:szCs w:val="24"/>
        </w:rPr>
        <w:t>2.2</w:t>
      </w:r>
      <w:r w:rsidRPr="00032670">
        <w:rPr>
          <w:rFonts w:ascii="Times New Roman" w:hAnsi="Times New Roman"/>
          <w:bCs w:val="0"/>
          <w:sz w:val="24"/>
          <w:szCs w:val="24"/>
        </w:rPr>
        <w:t>抽气及打压系统</w:t>
      </w:r>
      <w:bookmarkEnd w:id="9"/>
      <w:r w:rsidRPr="00032670">
        <w:rPr>
          <w:rFonts w:ascii="Times New Roman" w:hAnsi="Times New Roman"/>
          <w:bCs w:val="0"/>
          <w:sz w:val="24"/>
          <w:szCs w:val="24"/>
        </w:rPr>
        <w:t>技术要求</w:t>
      </w:r>
      <w:bookmarkEnd w:id="8"/>
    </w:p>
    <w:p w:rsidR="003A2603" w:rsidRPr="00032670" w:rsidRDefault="003A2603" w:rsidP="003A2603">
      <w:pPr>
        <w:widowControl/>
        <w:numPr>
          <w:ilvl w:val="0"/>
          <w:numId w:val="2"/>
        </w:numPr>
        <w:wordWrap w:val="0"/>
        <w:adjustRightInd w:val="0"/>
        <w:snapToGrid w:val="0"/>
        <w:spacing w:before="100" w:line="360" w:lineRule="auto"/>
      </w:pPr>
      <w:r w:rsidRPr="00032670">
        <w:rPr>
          <w:szCs w:val="32"/>
        </w:rPr>
        <w:t>抽气及打压系统需满足</w:t>
      </w:r>
      <w:r w:rsidRPr="00032670">
        <w:t>PF</w:t>
      </w:r>
      <w:r w:rsidRPr="00032670">
        <w:t>线圈</w:t>
      </w:r>
      <w:r w:rsidRPr="00032670">
        <w:rPr>
          <w:rFonts w:hint="eastAsia"/>
        </w:rPr>
        <w:t>绝缘</w:t>
      </w:r>
      <w:r w:rsidRPr="00032670">
        <w:t>制造过程的真空脱气要求；</w:t>
      </w:r>
    </w:p>
    <w:p w:rsidR="003A2603" w:rsidRPr="00032670" w:rsidRDefault="003A2603" w:rsidP="003A2603">
      <w:pPr>
        <w:widowControl/>
        <w:numPr>
          <w:ilvl w:val="0"/>
          <w:numId w:val="2"/>
        </w:numPr>
        <w:wordWrap w:val="0"/>
        <w:adjustRightInd w:val="0"/>
        <w:snapToGrid w:val="0"/>
        <w:spacing w:before="100" w:line="360" w:lineRule="auto"/>
      </w:pPr>
      <w:r w:rsidRPr="00032670">
        <w:t>抽气机组共计</w:t>
      </w:r>
      <w:r w:rsidRPr="00032670">
        <w:t>2</w:t>
      </w:r>
      <w:r w:rsidRPr="00032670">
        <w:t>台</w:t>
      </w:r>
      <w:r w:rsidRPr="00032670">
        <w:t>/</w:t>
      </w:r>
      <w:r w:rsidRPr="00032670">
        <w:t>套，主泵为无油罗</w:t>
      </w:r>
      <w:proofErr w:type="gramStart"/>
      <w:r w:rsidRPr="00032670">
        <w:t>茨</w:t>
      </w:r>
      <w:proofErr w:type="gramEnd"/>
      <w:r w:rsidRPr="00032670">
        <w:t>泵</w:t>
      </w:r>
      <w:r w:rsidRPr="00032670">
        <w:rPr>
          <w:rFonts w:hint="eastAsia"/>
        </w:rPr>
        <w:t>（参考品牌普发。投标人可以选择性能相当于或优于参考品牌的其他品牌产品，如选用其他品牌产品，需要提供相关证明材料证明其性能相当于或优于参考品牌。）</w:t>
      </w:r>
      <w:r w:rsidRPr="00032670">
        <w:t>，前级泵为机械泵，机组主泵抽速</w:t>
      </w:r>
      <w:r w:rsidRPr="00032670">
        <w:t>≥600 L/s</w:t>
      </w:r>
      <w:r w:rsidRPr="00032670">
        <w:t>，极限压强</w:t>
      </w:r>
      <w:r w:rsidRPr="00032670">
        <w:t>≤1E</w:t>
      </w:r>
      <w:r w:rsidRPr="00032670">
        <w:rPr>
          <w:vertAlign w:val="superscript"/>
        </w:rPr>
        <w:t>-2</w:t>
      </w:r>
      <w:r w:rsidRPr="00032670">
        <w:t xml:space="preserve"> Pa</w:t>
      </w:r>
      <w:r w:rsidRPr="00032670">
        <w:t>；</w:t>
      </w:r>
      <w:r w:rsidRPr="00032670">
        <w:t xml:space="preserve"> </w:t>
      </w:r>
    </w:p>
    <w:p w:rsidR="003A2603" w:rsidRPr="00032670" w:rsidRDefault="003A2603" w:rsidP="003A2603">
      <w:pPr>
        <w:widowControl/>
        <w:numPr>
          <w:ilvl w:val="0"/>
          <w:numId w:val="2"/>
        </w:numPr>
        <w:wordWrap w:val="0"/>
        <w:adjustRightInd w:val="0"/>
        <w:snapToGrid w:val="0"/>
        <w:spacing w:before="100" w:line="360" w:lineRule="auto"/>
      </w:pPr>
      <w:proofErr w:type="gramStart"/>
      <w:r w:rsidRPr="00032670">
        <w:t>抽气机组须配备</w:t>
      </w:r>
      <w:proofErr w:type="gramEnd"/>
      <w:r w:rsidRPr="00032670">
        <w:t>冷阱及水冷油气过滤装置，具有玻璃丝过滤功能；</w:t>
      </w:r>
    </w:p>
    <w:p w:rsidR="003A2603" w:rsidRPr="00032670" w:rsidRDefault="003A2603" w:rsidP="003A2603">
      <w:pPr>
        <w:widowControl/>
        <w:numPr>
          <w:ilvl w:val="0"/>
          <w:numId w:val="2"/>
        </w:numPr>
        <w:wordWrap w:val="0"/>
        <w:adjustRightInd w:val="0"/>
        <w:snapToGrid w:val="0"/>
        <w:spacing w:before="100" w:line="360" w:lineRule="auto"/>
      </w:pPr>
      <w:r w:rsidRPr="00032670">
        <w:t>抽气机</w:t>
      </w:r>
      <w:proofErr w:type="gramStart"/>
      <w:r w:rsidRPr="00032670">
        <w:t>组具备</w:t>
      </w:r>
      <w:proofErr w:type="gramEnd"/>
      <w:r w:rsidRPr="00032670">
        <w:t>可靠的防止油污染主泵措施，在机械泵排气口需配备除油过滤装置，</w:t>
      </w:r>
      <w:proofErr w:type="gramStart"/>
      <w:r w:rsidRPr="00032670">
        <w:t>严禁回</w:t>
      </w:r>
      <w:proofErr w:type="gramEnd"/>
      <w:r w:rsidRPr="00032670">
        <w:t>油或任何杂质到真空主管路内；</w:t>
      </w:r>
    </w:p>
    <w:p w:rsidR="003A2603" w:rsidRPr="00032670" w:rsidRDefault="003A2603" w:rsidP="003A2603">
      <w:pPr>
        <w:widowControl/>
        <w:numPr>
          <w:ilvl w:val="0"/>
          <w:numId w:val="2"/>
        </w:numPr>
        <w:wordWrap w:val="0"/>
        <w:adjustRightInd w:val="0"/>
        <w:snapToGrid w:val="0"/>
        <w:spacing w:before="100" w:line="360" w:lineRule="auto"/>
      </w:pPr>
      <w:r w:rsidRPr="00032670">
        <w:t>在冷却正常的条件下，真空抽气系统能在</w:t>
      </w:r>
      <w:r w:rsidRPr="00032670">
        <w:t>5</w:t>
      </w:r>
      <w:r w:rsidRPr="00032670">
        <w:t>～</w:t>
      </w:r>
      <w:r w:rsidRPr="00032670">
        <w:t>45 ℃</w:t>
      </w:r>
      <w:r w:rsidRPr="00032670">
        <w:t>下长期工作，连续无故障工作时间大于</w:t>
      </w:r>
      <w:r w:rsidRPr="00032670">
        <w:t>15000 h</w:t>
      </w:r>
      <w:r w:rsidRPr="00032670">
        <w:t>；</w:t>
      </w:r>
    </w:p>
    <w:p w:rsidR="003A2603" w:rsidRPr="00032670" w:rsidRDefault="003A2603" w:rsidP="003A2603">
      <w:pPr>
        <w:widowControl/>
        <w:numPr>
          <w:ilvl w:val="0"/>
          <w:numId w:val="2"/>
        </w:numPr>
        <w:wordWrap w:val="0"/>
        <w:adjustRightInd w:val="0"/>
        <w:snapToGrid w:val="0"/>
        <w:spacing w:before="100" w:line="360" w:lineRule="auto"/>
      </w:pPr>
      <w:r w:rsidRPr="00032670">
        <w:lastRenderedPageBreak/>
        <w:t>抽气机组</w:t>
      </w:r>
      <w:r w:rsidRPr="00032670">
        <w:rPr>
          <w:rFonts w:hint="eastAsia"/>
        </w:rPr>
        <w:t>预留</w:t>
      </w:r>
      <w:r w:rsidRPr="00032670">
        <w:t>KF</w:t>
      </w:r>
      <w:r w:rsidRPr="00032670">
        <w:t>三通、</w:t>
      </w:r>
      <w:r w:rsidRPr="00032670">
        <w:t>KF</w:t>
      </w:r>
      <w:r w:rsidRPr="00032670">
        <w:t>角阀、</w:t>
      </w:r>
      <w:r w:rsidRPr="00032670">
        <w:t>KF</w:t>
      </w:r>
      <w:r w:rsidRPr="00032670">
        <w:t>耐压波纹管等</w:t>
      </w:r>
      <w:r w:rsidRPr="00032670">
        <w:rPr>
          <w:rFonts w:hint="eastAsia"/>
        </w:rPr>
        <w:t>接口，并且安装</w:t>
      </w:r>
      <w:r w:rsidRPr="00032670">
        <w:t>手动闸板</w:t>
      </w:r>
      <w:r w:rsidRPr="00032670">
        <w:t xml:space="preserve"> </w:t>
      </w:r>
      <w:r w:rsidRPr="00032670">
        <w:rPr>
          <w:rFonts w:hint="eastAsia"/>
        </w:rPr>
        <w:t>；</w:t>
      </w:r>
    </w:p>
    <w:p w:rsidR="003A2603" w:rsidRPr="00032670" w:rsidRDefault="003A2603" w:rsidP="003A2603">
      <w:pPr>
        <w:widowControl/>
        <w:numPr>
          <w:ilvl w:val="0"/>
          <w:numId w:val="2"/>
        </w:numPr>
        <w:wordWrap w:val="0"/>
        <w:adjustRightInd w:val="0"/>
        <w:snapToGrid w:val="0"/>
        <w:spacing w:before="100" w:line="360" w:lineRule="auto"/>
      </w:pPr>
      <w:proofErr w:type="gramStart"/>
      <w:r w:rsidRPr="00032670">
        <w:t>抽气机组须安装</w:t>
      </w:r>
      <w:proofErr w:type="gramEnd"/>
      <w:r w:rsidRPr="00032670">
        <w:t>在可移动推车上，具备移动和支撑固定等功能。</w:t>
      </w:r>
    </w:p>
    <w:p w:rsidR="003A2603" w:rsidRPr="00032670" w:rsidRDefault="003A2603" w:rsidP="003A2603">
      <w:pPr>
        <w:pStyle w:val="2"/>
        <w:keepNext w:val="0"/>
        <w:keepLines w:val="0"/>
        <w:widowControl/>
        <w:numPr>
          <w:ilvl w:val="1"/>
          <w:numId w:val="0"/>
        </w:numPr>
        <w:adjustRightInd w:val="0"/>
        <w:snapToGrid w:val="0"/>
        <w:spacing w:beforeLines="50" w:before="156" w:after="0" w:line="360" w:lineRule="auto"/>
        <w:jc w:val="left"/>
        <w:rPr>
          <w:rFonts w:ascii="Times New Roman" w:hAnsi="Times New Roman"/>
          <w:bCs w:val="0"/>
          <w:sz w:val="24"/>
          <w:szCs w:val="24"/>
        </w:rPr>
      </w:pPr>
      <w:bookmarkStart w:id="10" w:name="_Toc155882942"/>
      <w:r w:rsidRPr="00032670">
        <w:rPr>
          <w:rFonts w:ascii="Times New Roman" w:hAnsi="Times New Roman" w:hint="eastAsia"/>
          <w:bCs w:val="0"/>
          <w:sz w:val="24"/>
          <w:szCs w:val="24"/>
        </w:rPr>
        <w:t>2.3</w:t>
      </w:r>
      <w:r w:rsidRPr="00032670">
        <w:rPr>
          <w:rFonts w:ascii="Times New Roman" w:hAnsi="Times New Roman" w:hint="eastAsia"/>
          <w:bCs w:val="0"/>
          <w:sz w:val="24"/>
          <w:szCs w:val="24"/>
        </w:rPr>
        <w:t>内外部加热电源</w:t>
      </w:r>
      <w:r w:rsidRPr="00032670">
        <w:rPr>
          <w:rFonts w:ascii="Times New Roman" w:hAnsi="Times New Roman"/>
          <w:bCs w:val="0"/>
          <w:sz w:val="24"/>
          <w:szCs w:val="24"/>
        </w:rPr>
        <w:t>技术要求</w:t>
      </w:r>
      <w:bookmarkEnd w:id="10"/>
    </w:p>
    <w:p w:rsidR="003A2603" w:rsidRPr="00032670" w:rsidRDefault="003A2603" w:rsidP="003A2603">
      <w:pPr>
        <w:widowControl/>
        <w:numPr>
          <w:ilvl w:val="0"/>
          <w:numId w:val="3"/>
        </w:numPr>
        <w:wordWrap w:val="0"/>
        <w:adjustRightInd w:val="0"/>
        <w:snapToGrid w:val="0"/>
        <w:spacing w:before="100" w:line="360" w:lineRule="auto"/>
        <w:jc w:val="left"/>
      </w:pPr>
      <w:r w:rsidRPr="00032670">
        <w:rPr>
          <w:rFonts w:hint="eastAsia"/>
        </w:rPr>
        <w:t>内外部加热电源须</w:t>
      </w:r>
      <w:r w:rsidRPr="00032670">
        <w:t>满足</w:t>
      </w:r>
      <w:r w:rsidRPr="00032670">
        <w:t>PF</w:t>
      </w:r>
      <w:r w:rsidRPr="00032670">
        <w:t>线圈</w:t>
      </w:r>
      <w:r w:rsidRPr="00032670">
        <w:rPr>
          <w:rFonts w:hint="eastAsia"/>
        </w:rPr>
        <w:t>绝缘制造</w:t>
      </w:r>
      <w:r w:rsidRPr="00032670">
        <w:t>过程中的内部和外部同步加热需求；</w:t>
      </w:r>
      <w:r w:rsidRPr="00032670">
        <w:rPr>
          <w:rFonts w:hint="eastAsia"/>
        </w:rPr>
        <w:t>每套</w:t>
      </w:r>
      <w:r w:rsidRPr="00032670">
        <w:rPr>
          <w:rFonts w:hint="eastAsia"/>
        </w:rPr>
        <w:t>VPI</w:t>
      </w:r>
      <w:r w:rsidRPr="00032670">
        <w:rPr>
          <w:rFonts w:hint="eastAsia"/>
        </w:rPr>
        <w:t>加热系统包含</w:t>
      </w:r>
      <w:r w:rsidRPr="00032670">
        <w:rPr>
          <w:rFonts w:hint="eastAsia"/>
        </w:rPr>
        <w:t>1</w:t>
      </w:r>
      <w:r w:rsidRPr="00032670">
        <w:rPr>
          <w:rFonts w:hint="eastAsia"/>
        </w:rPr>
        <w:t>套</w:t>
      </w:r>
      <w:r w:rsidRPr="00032670">
        <w:rPr>
          <w:rFonts w:hint="eastAsia"/>
        </w:rPr>
        <w:t>VPI</w:t>
      </w:r>
      <w:r w:rsidRPr="00032670">
        <w:rPr>
          <w:rFonts w:hint="eastAsia"/>
        </w:rPr>
        <w:t>内部加热系统及</w:t>
      </w:r>
      <w:r w:rsidRPr="00032670">
        <w:rPr>
          <w:rFonts w:hint="eastAsia"/>
        </w:rPr>
        <w:t>1</w:t>
      </w:r>
      <w:r w:rsidRPr="00032670">
        <w:rPr>
          <w:rFonts w:hint="eastAsia"/>
        </w:rPr>
        <w:t>套</w:t>
      </w:r>
      <w:r w:rsidRPr="00032670">
        <w:rPr>
          <w:rFonts w:hint="eastAsia"/>
        </w:rPr>
        <w:t>VPI</w:t>
      </w:r>
      <w:r w:rsidRPr="00032670">
        <w:rPr>
          <w:rFonts w:hint="eastAsia"/>
        </w:rPr>
        <w:t>外部加热系统</w:t>
      </w:r>
      <w:r w:rsidRPr="00032670">
        <w:rPr>
          <w:rFonts w:hint="eastAsia"/>
        </w:rPr>
        <w:t>;</w:t>
      </w:r>
    </w:p>
    <w:p w:rsidR="003A2603" w:rsidRPr="00032670" w:rsidRDefault="003A2603" w:rsidP="003A2603">
      <w:pPr>
        <w:widowControl/>
        <w:numPr>
          <w:ilvl w:val="0"/>
          <w:numId w:val="3"/>
        </w:numPr>
        <w:wordWrap w:val="0"/>
        <w:adjustRightInd w:val="0"/>
        <w:snapToGrid w:val="0"/>
        <w:spacing w:before="100" w:line="360" w:lineRule="auto"/>
        <w:jc w:val="left"/>
      </w:pPr>
      <w:r w:rsidRPr="00032670">
        <w:t>加热电源通过上位控制器，须满足额定直流</w:t>
      </w:r>
      <w:r w:rsidRPr="00032670">
        <w:t>0-1200 A</w:t>
      </w:r>
      <w:r w:rsidRPr="00032670">
        <w:t>连续可调，额定直流电压</w:t>
      </w:r>
      <w:r w:rsidRPr="00032670">
        <w:t>800 V</w:t>
      </w:r>
      <w:r w:rsidRPr="00032670">
        <w:t>，</w:t>
      </w:r>
      <w:r w:rsidRPr="00032670">
        <w:t>0-800 V</w:t>
      </w:r>
      <w:r w:rsidRPr="00032670">
        <w:t>连续可调；</w:t>
      </w:r>
    </w:p>
    <w:p w:rsidR="003A2603" w:rsidRPr="00032670" w:rsidRDefault="003A2603" w:rsidP="003A2603">
      <w:pPr>
        <w:widowControl/>
        <w:numPr>
          <w:ilvl w:val="0"/>
          <w:numId w:val="3"/>
        </w:numPr>
        <w:wordWrap w:val="0"/>
        <w:adjustRightInd w:val="0"/>
        <w:snapToGrid w:val="0"/>
        <w:spacing w:before="100" w:line="360" w:lineRule="auto"/>
        <w:jc w:val="left"/>
      </w:pPr>
      <w:r w:rsidRPr="00032670">
        <w:t>电流精度：电压纹波小于百分之五，电流精度小于万分之三；电源掉电时负载保护：采用二极管续流方式；</w:t>
      </w:r>
    </w:p>
    <w:p w:rsidR="003A2603" w:rsidRPr="00032670" w:rsidRDefault="003A2603" w:rsidP="003A2603">
      <w:pPr>
        <w:widowControl/>
        <w:numPr>
          <w:ilvl w:val="0"/>
          <w:numId w:val="3"/>
        </w:numPr>
        <w:wordWrap w:val="0"/>
        <w:adjustRightInd w:val="0"/>
        <w:snapToGrid w:val="0"/>
        <w:spacing w:before="100" w:line="360" w:lineRule="auto"/>
        <w:jc w:val="left"/>
      </w:pPr>
      <w:r w:rsidRPr="00032670">
        <w:t>控制与通讯：具备</w:t>
      </w:r>
      <w:r w:rsidRPr="00032670">
        <w:t>GBIP</w:t>
      </w:r>
      <w:r w:rsidRPr="00032670">
        <w:t>、</w:t>
      </w:r>
      <w:r w:rsidRPr="00032670">
        <w:t>RS485</w:t>
      </w:r>
      <w:r w:rsidRPr="00032670">
        <w:t>、以太网接口；具备</w:t>
      </w:r>
      <w:proofErr w:type="gramStart"/>
      <w:r w:rsidRPr="00032670">
        <w:t>电流回读模拟输出</w:t>
      </w:r>
      <w:proofErr w:type="gramEnd"/>
      <w:r w:rsidRPr="00032670">
        <w:t>口、外部控制信号模拟输入口；电源自身控制系统由</w:t>
      </w:r>
      <w:r w:rsidRPr="00032670">
        <w:t>UPS</w:t>
      </w:r>
      <w:r w:rsidRPr="00032670">
        <w:t>电源单独供电，能持续工作；</w:t>
      </w:r>
    </w:p>
    <w:p w:rsidR="003A2603" w:rsidRPr="00032670" w:rsidRDefault="003A2603" w:rsidP="003A2603">
      <w:pPr>
        <w:widowControl/>
        <w:numPr>
          <w:ilvl w:val="0"/>
          <w:numId w:val="3"/>
        </w:numPr>
        <w:wordWrap w:val="0"/>
        <w:adjustRightInd w:val="0"/>
        <w:snapToGrid w:val="0"/>
        <w:spacing w:before="100" w:line="360" w:lineRule="auto"/>
        <w:jc w:val="left"/>
      </w:pPr>
      <w:r w:rsidRPr="00032670">
        <w:t>电源尺寸：最大尺寸</w:t>
      </w:r>
      <w:r w:rsidRPr="00032670">
        <w:t>3 m×1 m×3 m</w:t>
      </w:r>
      <w:r w:rsidRPr="00032670">
        <w:t>（长</w:t>
      </w:r>
      <w:r w:rsidRPr="00032670">
        <w:t>×</w:t>
      </w:r>
      <w:r w:rsidRPr="00032670">
        <w:t>宽</w:t>
      </w:r>
      <w:r w:rsidRPr="00032670">
        <w:t>×</w:t>
      </w:r>
      <w:r w:rsidRPr="00032670">
        <w:t>高）；环境温度：</w:t>
      </w:r>
      <w:r w:rsidRPr="00032670">
        <w:t>-10 ℃</w:t>
      </w:r>
      <w:r w:rsidRPr="00032670">
        <w:t>～</w:t>
      </w:r>
      <w:r w:rsidRPr="00032670">
        <w:t>+40 ℃</w:t>
      </w:r>
      <w:r w:rsidRPr="00032670">
        <w:t>，散热方式：风冷；</w:t>
      </w:r>
    </w:p>
    <w:p w:rsidR="003A2603" w:rsidRPr="00032670" w:rsidRDefault="003A2603" w:rsidP="003A2603">
      <w:pPr>
        <w:widowControl/>
        <w:numPr>
          <w:ilvl w:val="0"/>
          <w:numId w:val="3"/>
        </w:numPr>
        <w:wordWrap w:val="0"/>
        <w:adjustRightInd w:val="0"/>
        <w:snapToGrid w:val="0"/>
        <w:spacing w:before="100" w:line="360" w:lineRule="auto"/>
        <w:jc w:val="left"/>
      </w:pPr>
      <w:r w:rsidRPr="00032670">
        <w:t>输入电源电压：交流</w:t>
      </w:r>
      <w:r w:rsidRPr="00032670">
        <w:t>380 V</w:t>
      </w:r>
      <w:r w:rsidRPr="00032670">
        <w:t>，电网波动，</w:t>
      </w:r>
      <w:r w:rsidRPr="00032670">
        <w:t>380±10%V AC</w:t>
      </w:r>
      <w:r w:rsidRPr="00032670">
        <w:t>（三相）；具备过流，短路保护；</w:t>
      </w:r>
    </w:p>
    <w:p w:rsidR="003A2603" w:rsidRPr="00032670" w:rsidRDefault="003A2603" w:rsidP="003A2603">
      <w:pPr>
        <w:widowControl/>
        <w:numPr>
          <w:ilvl w:val="0"/>
          <w:numId w:val="3"/>
        </w:numPr>
        <w:wordWrap w:val="0"/>
        <w:adjustRightInd w:val="0"/>
        <w:snapToGrid w:val="0"/>
        <w:spacing w:before="100" w:line="360" w:lineRule="auto"/>
        <w:jc w:val="left"/>
      </w:pPr>
      <w:r w:rsidRPr="00032670">
        <w:t>噪音：电源运行时，</w:t>
      </w:r>
      <w:proofErr w:type="gramStart"/>
      <w:r w:rsidRPr="00032670">
        <w:t>电源柜需风机</w:t>
      </w:r>
      <w:proofErr w:type="gramEnd"/>
      <w:r w:rsidRPr="00032670">
        <w:t>散热。变压器、电感</w:t>
      </w:r>
      <w:proofErr w:type="gramStart"/>
      <w:r w:rsidRPr="00032670">
        <w:t>电磁声</w:t>
      </w:r>
      <w:proofErr w:type="gramEnd"/>
      <w:r w:rsidRPr="00032670">
        <w:t>和风机最大噪声不超</w:t>
      </w:r>
      <w:r w:rsidRPr="00032670">
        <w:t>GB/T3859.1-93</w:t>
      </w:r>
      <w:r w:rsidRPr="00032670">
        <w:t>中</w:t>
      </w:r>
      <w:r w:rsidRPr="00032670">
        <w:t>5.7.11</w:t>
      </w:r>
      <w:r w:rsidRPr="00032670">
        <w:t>的规定；</w:t>
      </w:r>
    </w:p>
    <w:p w:rsidR="003A2603" w:rsidRPr="00032670" w:rsidRDefault="003A2603" w:rsidP="003A2603">
      <w:pPr>
        <w:widowControl/>
        <w:numPr>
          <w:ilvl w:val="0"/>
          <w:numId w:val="3"/>
        </w:numPr>
        <w:adjustRightInd w:val="0"/>
        <w:snapToGrid w:val="0"/>
        <w:spacing w:before="100" w:line="360" w:lineRule="auto"/>
        <w:jc w:val="left"/>
      </w:pPr>
      <w:r w:rsidRPr="00032670">
        <w:rPr>
          <w:rFonts w:hint="eastAsia"/>
        </w:rPr>
        <w:t>加热系统的功率、电流及电压最大值及电流变化率由乙方根据</w:t>
      </w:r>
      <w:r w:rsidRPr="00032670">
        <w:rPr>
          <w:rFonts w:hint="eastAsia"/>
        </w:rPr>
        <w:t>VPI</w:t>
      </w:r>
      <w:r w:rsidRPr="00032670">
        <w:rPr>
          <w:rFonts w:hint="eastAsia"/>
        </w:rPr>
        <w:t>加热需求自行确定，但需留有</w:t>
      </w:r>
      <w:r w:rsidRPr="00032670">
        <w:rPr>
          <w:rFonts w:hint="eastAsia"/>
        </w:rPr>
        <w:t>20%</w:t>
      </w:r>
      <w:r w:rsidRPr="00032670">
        <w:rPr>
          <w:rFonts w:hint="eastAsia"/>
        </w:rPr>
        <w:t>以上的裕度，电流精度不大于</w:t>
      </w:r>
      <w:r w:rsidRPr="00032670">
        <w:rPr>
          <w:rFonts w:hint="eastAsia"/>
        </w:rPr>
        <w:t>0.03%</w:t>
      </w:r>
      <w:r w:rsidRPr="00032670">
        <w:rPr>
          <w:rFonts w:hint="eastAsia"/>
        </w:rPr>
        <w:t>，电压纹波不大于</w:t>
      </w:r>
      <w:r w:rsidRPr="00032670">
        <w:rPr>
          <w:rFonts w:hint="eastAsia"/>
        </w:rPr>
        <w:t>5%</w:t>
      </w:r>
      <w:r w:rsidRPr="00032670">
        <w:rPr>
          <w:rFonts w:hint="eastAsia"/>
        </w:rPr>
        <w:t>；</w:t>
      </w:r>
    </w:p>
    <w:p w:rsidR="003A2603" w:rsidRPr="00032670" w:rsidRDefault="003A2603" w:rsidP="003A2603">
      <w:pPr>
        <w:widowControl/>
        <w:numPr>
          <w:ilvl w:val="0"/>
          <w:numId w:val="3"/>
        </w:numPr>
        <w:adjustRightInd w:val="0"/>
        <w:snapToGrid w:val="0"/>
        <w:spacing w:before="100" w:line="360" w:lineRule="auto"/>
        <w:jc w:val="left"/>
      </w:pPr>
      <w:r w:rsidRPr="00032670">
        <w:rPr>
          <w:rFonts w:hint="eastAsia"/>
        </w:rPr>
        <w:t>因线圈</w:t>
      </w:r>
      <w:r w:rsidRPr="00032670">
        <w:rPr>
          <w:rFonts w:hint="eastAsia"/>
        </w:rPr>
        <w:t>VPI</w:t>
      </w:r>
      <w:r w:rsidRPr="00032670">
        <w:rPr>
          <w:rFonts w:hint="eastAsia"/>
        </w:rPr>
        <w:t>的工况特殊性，设备需满足长期连续稳定工作，内外部电源</w:t>
      </w:r>
      <w:proofErr w:type="gramStart"/>
      <w:r w:rsidRPr="00032670">
        <w:rPr>
          <w:rFonts w:hint="eastAsia"/>
        </w:rPr>
        <w:t>柜运行</w:t>
      </w:r>
      <w:proofErr w:type="gramEnd"/>
      <w:r w:rsidRPr="00032670">
        <w:rPr>
          <w:rFonts w:hint="eastAsia"/>
        </w:rPr>
        <w:t>过程中设备模块需要有一定冗余备份。</w:t>
      </w:r>
    </w:p>
    <w:p w:rsidR="003A2603" w:rsidRPr="00032670" w:rsidRDefault="003A2603" w:rsidP="003A2603">
      <w:pPr>
        <w:pStyle w:val="2"/>
        <w:keepNext w:val="0"/>
        <w:keepLines w:val="0"/>
        <w:widowControl/>
        <w:numPr>
          <w:ilvl w:val="1"/>
          <w:numId w:val="0"/>
        </w:numPr>
        <w:adjustRightInd w:val="0"/>
        <w:snapToGrid w:val="0"/>
        <w:spacing w:beforeLines="50" w:before="156" w:after="0" w:line="360" w:lineRule="auto"/>
        <w:jc w:val="left"/>
        <w:rPr>
          <w:rFonts w:ascii="Times New Roman" w:hAnsi="Times New Roman"/>
          <w:bCs w:val="0"/>
          <w:sz w:val="24"/>
          <w:szCs w:val="24"/>
        </w:rPr>
      </w:pPr>
      <w:bookmarkStart w:id="11" w:name="_Toc13705"/>
      <w:bookmarkStart w:id="12" w:name="_Toc155882943"/>
      <w:r w:rsidRPr="00032670">
        <w:rPr>
          <w:rFonts w:ascii="Times New Roman" w:hAnsi="Times New Roman" w:hint="eastAsia"/>
          <w:bCs w:val="0"/>
          <w:sz w:val="24"/>
          <w:szCs w:val="24"/>
        </w:rPr>
        <w:t>2.4</w:t>
      </w:r>
      <w:proofErr w:type="gramStart"/>
      <w:r w:rsidRPr="00032670">
        <w:rPr>
          <w:rFonts w:ascii="Times New Roman" w:hAnsi="Times New Roman"/>
          <w:bCs w:val="0"/>
          <w:sz w:val="24"/>
          <w:szCs w:val="24"/>
        </w:rPr>
        <w:t>混胶脱气</w:t>
      </w:r>
      <w:proofErr w:type="gramEnd"/>
      <w:r w:rsidRPr="00032670">
        <w:rPr>
          <w:rFonts w:ascii="Times New Roman" w:hAnsi="Times New Roman"/>
          <w:bCs w:val="0"/>
          <w:sz w:val="24"/>
          <w:szCs w:val="24"/>
        </w:rPr>
        <w:t>设备</w:t>
      </w:r>
      <w:bookmarkEnd w:id="11"/>
      <w:r w:rsidRPr="00032670">
        <w:rPr>
          <w:rFonts w:ascii="Times New Roman" w:hAnsi="Times New Roman"/>
          <w:bCs w:val="0"/>
          <w:sz w:val="24"/>
          <w:szCs w:val="24"/>
        </w:rPr>
        <w:t>技术</w:t>
      </w:r>
      <w:r w:rsidRPr="00032670">
        <w:rPr>
          <w:rFonts w:ascii="Times New Roman" w:hAnsi="Times New Roman" w:hint="eastAsia"/>
          <w:bCs w:val="0"/>
          <w:sz w:val="24"/>
          <w:szCs w:val="24"/>
        </w:rPr>
        <w:t>要求</w:t>
      </w:r>
      <w:bookmarkEnd w:id="12"/>
    </w:p>
    <w:p w:rsidR="003A2603" w:rsidRPr="00032670" w:rsidRDefault="003A2603" w:rsidP="003A2603">
      <w:pPr>
        <w:widowControl/>
        <w:numPr>
          <w:ilvl w:val="0"/>
          <w:numId w:val="4"/>
        </w:numPr>
        <w:adjustRightInd w:val="0"/>
        <w:snapToGrid w:val="0"/>
        <w:spacing w:before="100" w:line="360" w:lineRule="auto"/>
        <w:jc w:val="left"/>
      </w:pPr>
      <w:proofErr w:type="gramStart"/>
      <w:r w:rsidRPr="00032670">
        <w:t>混胶脱气</w:t>
      </w:r>
      <w:proofErr w:type="gramEnd"/>
      <w:r w:rsidRPr="00032670">
        <w:rPr>
          <w:rFonts w:hint="eastAsia"/>
        </w:rPr>
        <w:t>设备包含一个</w:t>
      </w:r>
      <w:r w:rsidRPr="00032670">
        <w:rPr>
          <w:rFonts w:hint="eastAsia"/>
        </w:rPr>
        <w:t>1000L</w:t>
      </w:r>
      <w:r w:rsidRPr="00032670">
        <w:rPr>
          <w:rFonts w:hint="eastAsia"/>
        </w:rPr>
        <w:t>固化剂罐、一个</w:t>
      </w:r>
      <w:r w:rsidRPr="00032670">
        <w:rPr>
          <w:rFonts w:hint="eastAsia"/>
        </w:rPr>
        <w:t>1000L</w:t>
      </w:r>
      <w:r w:rsidRPr="00032670">
        <w:rPr>
          <w:rFonts w:hint="eastAsia"/>
        </w:rPr>
        <w:t>树脂罐、两个</w:t>
      </w:r>
      <w:r w:rsidRPr="00032670">
        <w:rPr>
          <w:rFonts w:hint="eastAsia"/>
        </w:rPr>
        <w:t>2000L</w:t>
      </w:r>
      <w:proofErr w:type="gramStart"/>
      <w:r w:rsidRPr="00032670">
        <w:rPr>
          <w:rFonts w:hint="eastAsia"/>
        </w:rPr>
        <w:t>混胶兼</w:t>
      </w:r>
      <w:proofErr w:type="gramEnd"/>
      <w:r w:rsidRPr="00032670">
        <w:rPr>
          <w:rFonts w:hint="eastAsia"/>
        </w:rPr>
        <w:t>注胶罐，一个</w:t>
      </w:r>
      <w:r w:rsidRPr="00032670">
        <w:rPr>
          <w:rFonts w:hint="eastAsia"/>
        </w:rPr>
        <w:t>600L</w:t>
      </w:r>
      <w:proofErr w:type="gramStart"/>
      <w:r w:rsidRPr="00032670">
        <w:rPr>
          <w:rFonts w:hint="eastAsia"/>
        </w:rPr>
        <w:t>储胶罐</w:t>
      </w:r>
      <w:proofErr w:type="gramEnd"/>
      <w:r w:rsidRPr="00032670">
        <w:rPr>
          <w:rFonts w:hint="eastAsia"/>
        </w:rPr>
        <w:t>。设备需满足</w:t>
      </w:r>
      <w:r w:rsidRPr="00032670">
        <w:rPr>
          <w:rFonts w:hint="eastAsia"/>
        </w:rPr>
        <w:t>V</w:t>
      </w:r>
      <w:r w:rsidRPr="00032670">
        <w:t>PI</w:t>
      </w:r>
      <w:r w:rsidRPr="00032670">
        <w:rPr>
          <w:rFonts w:hint="eastAsia"/>
        </w:rPr>
        <w:t>过程中对压力、温度和真空的要求：</w:t>
      </w:r>
    </w:p>
    <w:p w:rsidR="003A2603" w:rsidRPr="00032670" w:rsidRDefault="003A2603" w:rsidP="003A2603">
      <w:pPr>
        <w:widowControl/>
        <w:numPr>
          <w:ilvl w:val="0"/>
          <w:numId w:val="4"/>
        </w:numPr>
        <w:adjustRightInd w:val="0"/>
        <w:snapToGrid w:val="0"/>
        <w:spacing w:before="100" w:line="360" w:lineRule="auto"/>
        <w:jc w:val="left"/>
      </w:pPr>
      <w:r w:rsidRPr="00032670">
        <w:t>单组分脱气</w:t>
      </w:r>
      <w:proofErr w:type="gramStart"/>
      <w:r w:rsidRPr="00032670">
        <w:t>罐有效</w:t>
      </w:r>
      <w:proofErr w:type="gramEnd"/>
      <w:r w:rsidRPr="00032670">
        <w:t>存储容积</w:t>
      </w:r>
      <w:r w:rsidRPr="00032670">
        <w:t>≥1000 L</w:t>
      </w:r>
      <w:r w:rsidRPr="00032670">
        <w:t>，</w:t>
      </w:r>
      <w:proofErr w:type="gramStart"/>
      <w:r w:rsidRPr="00032670">
        <w:t>混胶脱气</w:t>
      </w:r>
      <w:proofErr w:type="gramEnd"/>
      <w:r w:rsidRPr="00032670">
        <w:t>罐及压力注射罐的容积</w:t>
      </w:r>
      <w:r w:rsidRPr="00032670">
        <w:t>≥2000 L</w:t>
      </w:r>
      <w:r w:rsidRPr="00032670">
        <w:t>，采用搅拌脱气方式，内壁为不锈钢材质</w:t>
      </w:r>
      <w:r w:rsidRPr="00032670">
        <w:rPr>
          <w:rFonts w:hint="eastAsia"/>
        </w:rPr>
        <w:t>（不低于</w:t>
      </w:r>
      <w:r w:rsidRPr="00032670">
        <w:rPr>
          <w:rFonts w:hint="eastAsia"/>
        </w:rPr>
        <w:t>304</w:t>
      </w:r>
      <w:r w:rsidRPr="00032670">
        <w:rPr>
          <w:rFonts w:hint="eastAsia"/>
        </w:rPr>
        <w:t>）</w:t>
      </w:r>
      <w:r w:rsidRPr="00032670">
        <w:t>，采用两级薄膜真空连续脱气；</w:t>
      </w:r>
    </w:p>
    <w:p w:rsidR="003A2603" w:rsidRPr="00032670" w:rsidRDefault="003A2603" w:rsidP="003A2603">
      <w:pPr>
        <w:widowControl/>
        <w:numPr>
          <w:ilvl w:val="0"/>
          <w:numId w:val="4"/>
        </w:numPr>
        <w:adjustRightInd w:val="0"/>
        <w:snapToGrid w:val="0"/>
        <w:spacing w:before="100" w:line="360" w:lineRule="auto"/>
        <w:jc w:val="left"/>
      </w:pPr>
      <w:r w:rsidRPr="00032670">
        <w:t>各罐体的外部具备加热夹套，采用导热油加热，工作温度</w:t>
      </w:r>
      <w:r w:rsidRPr="00032670">
        <w:t>60-120±2 ℃</w:t>
      </w:r>
      <w:r w:rsidRPr="00032670">
        <w:t>，并可实时显示物料温度，罐体外设保温层；</w:t>
      </w:r>
    </w:p>
    <w:p w:rsidR="003A2603" w:rsidRPr="00032670" w:rsidRDefault="003A2603" w:rsidP="003A2603">
      <w:pPr>
        <w:widowControl/>
        <w:numPr>
          <w:ilvl w:val="0"/>
          <w:numId w:val="4"/>
        </w:numPr>
        <w:adjustRightInd w:val="0"/>
        <w:snapToGrid w:val="0"/>
        <w:spacing w:before="100" w:line="360" w:lineRule="auto"/>
        <w:jc w:val="left"/>
      </w:pPr>
      <w:r w:rsidRPr="00032670">
        <w:rPr>
          <w:rFonts w:hint="eastAsia"/>
        </w:rPr>
        <w:t>罐体需具备</w:t>
      </w:r>
      <w:r w:rsidRPr="00032670">
        <w:t>树脂</w:t>
      </w:r>
      <w:r w:rsidRPr="00032670">
        <w:rPr>
          <w:rFonts w:hint="eastAsia"/>
        </w:rPr>
        <w:t>自动定量加料功能；</w:t>
      </w:r>
    </w:p>
    <w:p w:rsidR="003A2603" w:rsidRPr="00032670" w:rsidRDefault="003A2603" w:rsidP="003A2603">
      <w:pPr>
        <w:widowControl/>
        <w:numPr>
          <w:ilvl w:val="0"/>
          <w:numId w:val="4"/>
        </w:numPr>
        <w:adjustRightInd w:val="0"/>
        <w:snapToGrid w:val="0"/>
        <w:spacing w:before="100" w:line="360" w:lineRule="auto"/>
        <w:jc w:val="left"/>
      </w:pPr>
      <w:r w:rsidRPr="00032670">
        <w:lastRenderedPageBreak/>
        <w:t>采用三级真空泵机组对树脂脱气罐、固化剂脱气罐、压力</w:t>
      </w:r>
      <w:proofErr w:type="gramStart"/>
      <w:r w:rsidRPr="00032670">
        <w:t>注射罐抽真空</w:t>
      </w:r>
      <w:proofErr w:type="gramEnd"/>
      <w:r w:rsidRPr="00032670">
        <w:t>，各罐体的极限真空</w:t>
      </w:r>
      <w:r w:rsidRPr="00032670">
        <w:t>≤1 Pa</w:t>
      </w:r>
      <w:r w:rsidRPr="00032670">
        <w:t>，漏率</w:t>
      </w:r>
      <w:r w:rsidRPr="00032670">
        <w:t>≤1E-6 Pa∙m³/s</w:t>
      </w:r>
      <w:r w:rsidRPr="00032670">
        <w:t>，各罐体设置独立的抽空主阀和</w:t>
      </w:r>
      <w:proofErr w:type="gramStart"/>
      <w:r w:rsidRPr="00032670">
        <w:t>规管</w:t>
      </w:r>
      <w:proofErr w:type="gramEnd"/>
      <w:r w:rsidRPr="00032670">
        <w:t>，可以分别控制脱气真空；</w:t>
      </w:r>
    </w:p>
    <w:p w:rsidR="003A2603" w:rsidRPr="00032670" w:rsidRDefault="003A2603" w:rsidP="003A2603">
      <w:pPr>
        <w:widowControl/>
        <w:numPr>
          <w:ilvl w:val="0"/>
          <w:numId w:val="4"/>
        </w:numPr>
        <w:adjustRightInd w:val="0"/>
        <w:snapToGrid w:val="0"/>
        <w:spacing w:before="100" w:line="360" w:lineRule="auto"/>
        <w:jc w:val="left"/>
      </w:pPr>
      <w:proofErr w:type="gramStart"/>
      <w:r w:rsidRPr="00032670">
        <w:t>混胶脱气</w:t>
      </w:r>
      <w:proofErr w:type="gramEnd"/>
      <w:r w:rsidRPr="00032670">
        <w:t>设备的连续在线真空脱气处理能力</w:t>
      </w:r>
      <w:r w:rsidRPr="00032670">
        <w:t xml:space="preserve"> 30-50 L/min</w:t>
      </w:r>
      <w:r w:rsidRPr="00032670">
        <w:t>（可设），静态混料流速：</w:t>
      </w:r>
      <w:r w:rsidRPr="00032670">
        <w:t>10-30 L/min</w:t>
      </w:r>
      <w:r w:rsidRPr="00032670">
        <w:t>；</w:t>
      </w:r>
    </w:p>
    <w:p w:rsidR="003A2603" w:rsidRPr="00032670" w:rsidRDefault="003A2603" w:rsidP="003A2603">
      <w:pPr>
        <w:widowControl/>
        <w:numPr>
          <w:ilvl w:val="0"/>
          <w:numId w:val="4"/>
        </w:numPr>
        <w:adjustRightInd w:val="0"/>
        <w:snapToGrid w:val="0"/>
        <w:spacing w:before="100" w:line="360" w:lineRule="auto"/>
        <w:jc w:val="left"/>
      </w:pPr>
      <w:r w:rsidRPr="00032670">
        <w:t>各脱气罐的罐盖为可拆卸结构，罐体与</w:t>
      </w:r>
      <w:r w:rsidRPr="00032670">
        <w:rPr>
          <w:rFonts w:hint="eastAsia"/>
        </w:rPr>
        <w:t>罐盖</w:t>
      </w:r>
      <w:r w:rsidRPr="00032670">
        <w:t>采用可循环使用氟橡胶</w:t>
      </w:r>
      <w:proofErr w:type="gramStart"/>
      <w:r w:rsidRPr="00032670">
        <w:t>密进行</w:t>
      </w:r>
      <w:proofErr w:type="gramEnd"/>
      <w:r w:rsidRPr="00032670">
        <w:t>密封</w:t>
      </w:r>
    </w:p>
    <w:p w:rsidR="003A2603" w:rsidRPr="00032670" w:rsidRDefault="003A2603" w:rsidP="003A2603">
      <w:pPr>
        <w:widowControl/>
        <w:numPr>
          <w:ilvl w:val="0"/>
          <w:numId w:val="4"/>
        </w:numPr>
        <w:adjustRightInd w:val="0"/>
        <w:snapToGrid w:val="0"/>
        <w:spacing w:before="100" w:line="360" w:lineRule="auto"/>
        <w:jc w:val="left"/>
      </w:pPr>
      <w:r w:rsidRPr="00032670">
        <w:t>各脱气</w:t>
      </w:r>
      <w:proofErr w:type="gramStart"/>
      <w:r w:rsidRPr="00032670">
        <w:t>罐具备</w:t>
      </w:r>
      <w:proofErr w:type="gramEnd"/>
      <w:r w:rsidRPr="00032670">
        <w:t>真空接口、进料口、观察窗，可实时显示液面高度、物料温度等参数，可通过观察窗观察液面气泡情况；</w:t>
      </w:r>
    </w:p>
    <w:p w:rsidR="003A2603" w:rsidRPr="00032670" w:rsidRDefault="003A2603" w:rsidP="003A2603">
      <w:pPr>
        <w:widowControl/>
        <w:numPr>
          <w:ilvl w:val="0"/>
          <w:numId w:val="4"/>
        </w:numPr>
        <w:adjustRightInd w:val="0"/>
        <w:snapToGrid w:val="0"/>
        <w:spacing w:before="100" w:line="360" w:lineRule="auto"/>
        <w:jc w:val="left"/>
      </w:pPr>
      <w:r w:rsidRPr="00032670">
        <w:t>压力注射罐及其相关的各种辅助装置（加热系统、灌注管道、阀门、独立控制柜等）组合安装在一套可移动的称重台车架上，具备移动注射要求；</w:t>
      </w:r>
    </w:p>
    <w:p w:rsidR="003A2603" w:rsidRPr="00032670" w:rsidRDefault="003A2603" w:rsidP="003A2603">
      <w:pPr>
        <w:widowControl/>
        <w:numPr>
          <w:ilvl w:val="0"/>
          <w:numId w:val="4"/>
        </w:numPr>
        <w:adjustRightInd w:val="0"/>
        <w:snapToGrid w:val="0"/>
        <w:spacing w:before="100" w:line="360" w:lineRule="auto"/>
        <w:jc w:val="left"/>
      </w:pPr>
      <w:r w:rsidRPr="00032670">
        <w:t>压力注射罐体与</w:t>
      </w:r>
      <w:proofErr w:type="gramStart"/>
      <w:r w:rsidRPr="00032670">
        <w:t>混胶脱气罐之间</w:t>
      </w:r>
      <w:proofErr w:type="gramEnd"/>
      <w:r w:rsidRPr="00032670">
        <w:t>各接口须设置阀门及快接结构，便于拆卸和安装；</w:t>
      </w:r>
    </w:p>
    <w:p w:rsidR="003A2603" w:rsidRPr="00032670" w:rsidRDefault="003A2603" w:rsidP="003A2603">
      <w:pPr>
        <w:widowControl/>
        <w:numPr>
          <w:ilvl w:val="0"/>
          <w:numId w:val="4"/>
        </w:numPr>
        <w:adjustRightInd w:val="0"/>
        <w:snapToGrid w:val="0"/>
        <w:spacing w:before="100" w:line="360" w:lineRule="auto"/>
        <w:jc w:val="left"/>
      </w:pPr>
      <w:r w:rsidRPr="00032670">
        <w:t>控制系统各加热系统按照设定温度、真空度实现对各罐体的自动控制，具备各工序、工艺状态参数（温度、压力、流量、总量、频率等）的可查询、记录和备份；</w:t>
      </w:r>
    </w:p>
    <w:p w:rsidR="003A2603" w:rsidRPr="00032670" w:rsidRDefault="003A2603" w:rsidP="003A2603">
      <w:pPr>
        <w:widowControl/>
        <w:numPr>
          <w:ilvl w:val="0"/>
          <w:numId w:val="4"/>
        </w:numPr>
        <w:adjustRightInd w:val="0"/>
        <w:snapToGrid w:val="0"/>
        <w:spacing w:before="100" w:line="360" w:lineRule="auto"/>
        <w:jc w:val="left"/>
      </w:pPr>
      <w:r w:rsidRPr="00032670">
        <w:t>实时效能管理系统，监测各泵、阀、流量计等器件的工作状态、工作频率和时间，给予及时的维修、更换、清理建议提示，确保设备稳定可靠运行</w:t>
      </w:r>
      <w:r w:rsidRPr="00032670">
        <w:rPr>
          <w:rFonts w:hint="eastAsia"/>
        </w:rPr>
        <w:t>；</w:t>
      </w:r>
      <w:bookmarkEnd w:id="7"/>
    </w:p>
    <w:p w:rsidR="003A2603" w:rsidRPr="00032670" w:rsidRDefault="003A2603" w:rsidP="003A2603">
      <w:pPr>
        <w:widowControl/>
        <w:numPr>
          <w:ilvl w:val="0"/>
          <w:numId w:val="4"/>
        </w:numPr>
        <w:adjustRightInd w:val="0"/>
        <w:snapToGrid w:val="0"/>
        <w:spacing w:before="100" w:line="360" w:lineRule="auto"/>
        <w:jc w:val="left"/>
      </w:pPr>
      <w:r w:rsidRPr="00032670">
        <w:rPr>
          <w:rFonts w:hint="eastAsia"/>
        </w:rPr>
        <w:t>需配备清洗设备对</w:t>
      </w:r>
      <w:proofErr w:type="gramStart"/>
      <w:r w:rsidRPr="00032670">
        <w:rPr>
          <w:rFonts w:hint="eastAsia"/>
        </w:rPr>
        <w:t>混胶设备</w:t>
      </w:r>
      <w:proofErr w:type="gramEnd"/>
      <w:r w:rsidRPr="00032670">
        <w:rPr>
          <w:rFonts w:hint="eastAsia"/>
        </w:rPr>
        <w:t>中各罐体进行清洗；</w:t>
      </w:r>
    </w:p>
    <w:p w:rsidR="003A2603" w:rsidRPr="00032670" w:rsidRDefault="003A2603" w:rsidP="003A2603">
      <w:pPr>
        <w:widowControl/>
        <w:numPr>
          <w:ilvl w:val="0"/>
          <w:numId w:val="4"/>
        </w:numPr>
        <w:adjustRightInd w:val="0"/>
        <w:snapToGrid w:val="0"/>
        <w:spacing w:before="100" w:line="360" w:lineRule="auto"/>
        <w:jc w:val="left"/>
      </w:pPr>
      <w:proofErr w:type="gramStart"/>
      <w:r w:rsidRPr="00032670">
        <w:rPr>
          <w:rFonts w:hint="eastAsia"/>
        </w:rPr>
        <w:t>混胶脱气</w:t>
      </w:r>
      <w:proofErr w:type="gramEnd"/>
      <w:r w:rsidRPr="00032670">
        <w:rPr>
          <w:rFonts w:hint="eastAsia"/>
        </w:rPr>
        <w:t>设备接口的设置需经过甲方的确认。</w:t>
      </w:r>
    </w:p>
    <w:p w:rsidR="003A2603" w:rsidRPr="00032670" w:rsidRDefault="003A2603" w:rsidP="003A2603">
      <w:pPr>
        <w:widowControl/>
        <w:adjustRightInd w:val="0"/>
        <w:snapToGrid w:val="0"/>
        <w:spacing w:before="100" w:line="360" w:lineRule="auto"/>
        <w:jc w:val="left"/>
        <w:rPr>
          <w:rFonts w:hint="eastAsia"/>
          <w:b/>
          <w:sz w:val="24"/>
        </w:rPr>
      </w:pPr>
      <w:r w:rsidRPr="00032670">
        <w:rPr>
          <w:rFonts w:hint="eastAsia"/>
          <w:b/>
          <w:sz w:val="24"/>
        </w:rPr>
        <w:t>2.5</w:t>
      </w:r>
      <w:r w:rsidRPr="00032670">
        <w:rPr>
          <w:rFonts w:hint="eastAsia"/>
          <w:b/>
          <w:sz w:val="24"/>
        </w:rPr>
        <w:t>其他</w:t>
      </w:r>
    </w:p>
    <w:p w:rsidR="003A2603" w:rsidRPr="00032670" w:rsidRDefault="003A2603" w:rsidP="003A2603">
      <w:pPr>
        <w:spacing w:line="360" w:lineRule="auto"/>
      </w:pPr>
      <w:bookmarkStart w:id="13" w:name="_Toc146025223"/>
      <w:r w:rsidRPr="00032670">
        <w:rPr>
          <w:rFonts w:hint="eastAsia"/>
        </w:rPr>
        <w:t>阶段</w:t>
      </w:r>
      <w:r w:rsidRPr="00032670">
        <w:rPr>
          <w:rFonts w:hint="eastAsia"/>
        </w:rPr>
        <w:t>1</w:t>
      </w:r>
      <w:r w:rsidRPr="00032670">
        <w:rPr>
          <w:rFonts w:hint="eastAsia"/>
        </w:rPr>
        <w:t>：加工准备</w:t>
      </w:r>
      <w:bookmarkEnd w:id="13"/>
    </w:p>
    <w:p w:rsidR="003A2603" w:rsidRPr="00032670" w:rsidRDefault="003A2603" w:rsidP="003A2603">
      <w:pPr>
        <w:spacing w:line="360" w:lineRule="auto"/>
        <w:ind w:firstLineChars="200" w:firstLine="420"/>
      </w:pPr>
      <w:r w:rsidRPr="00032670">
        <w:rPr>
          <w:rFonts w:hint="eastAsia"/>
        </w:rPr>
        <w:t>乙方在合同签订生效完毕后，在合同规定的时间内，需组织甲方进行技术评审工作，评审通过后，方可进入部件加工</w:t>
      </w:r>
      <w:r w:rsidRPr="00032670">
        <w:t>阶段。技术评审前需提交文件如下：</w:t>
      </w:r>
    </w:p>
    <w:p w:rsidR="003A2603" w:rsidRPr="00032670" w:rsidRDefault="003A2603" w:rsidP="003A2603">
      <w:pPr>
        <w:pStyle w:val="a4"/>
        <w:numPr>
          <w:ilvl w:val="0"/>
          <w:numId w:val="5"/>
        </w:numPr>
        <w:spacing w:line="360" w:lineRule="auto"/>
        <w:ind w:firstLineChars="0"/>
      </w:pPr>
      <w:r w:rsidRPr="00032670">
        <w:t>《</w:t>
      </w:r>
      <w:bookmarkStart w:id="14" w:name="_Hlk156138490"/>
      <w:r w:rsidRPr="00032670">
        <w:rPr>
          <w:rFonts w:hint="eastAsia"/>
        </w:rPr>
        <w:t>P</w:t>
      </w:r>
      <w:r w:rsidRPr="00032670">
        <w:t>F</w:t>
      </w:r>
      <w:r w:rsidRPr="00032670">
        <w:rPr>
          <w:rFonts w:hint="eastAsia"/>
        </w:rPr>
        <w:t>线圈</w:t>
      </w:r>
      <w:r w:rsidRPr="00032670">
        <w:rPr>
          <w:rFonts w:hint="eastAsia"/>
        </w:rPr>
        <w:t>VPI</w:t>
      </w:r>
      <w:bookmarkEnd w:id="14"/>
      <w:r w:rsidRPr="00032670">
        <w:rPr>
          <w:rFonts w:hint="eastAsia"/>
        </w:rPr>
        <w:t>技术</w:t>
      </w:r>
      <w:r w:rsidRPr="00032670">
        <w:t>方案》；</w:t>
      </w:r>
    </w:p>
    <w:p w:rsidR="003A2603" w:rsidRPr="00032670" w:rsidRDefault="003A2603" w:rsidP="003A2603">
      <w:pPr>
        <w:pStyle w:val="a4"/>
        <w:numPr>
          <w:ilvl w:val="0"/>
          <w:numId w:val="5"/>
        </w:numPr>
        <w:spacing w:line="360" w:lineRule="auto"/>
        <w:ind w:firstLineChars="0"/>
      </w:pPr>
      <w:r w:rsidRPr="00032670">
        <w:t>《</w:t>
      </w:r>
      <w:r w:rsidRPr="00032670">
        <w:rPr>
          <w:rFonts w:hint="eastAsia"/>
        </w:rPr>
        <w:t>VPI</w:t>
      </w:r>
      <w:r w:rsidRPr="00032670">
        <w:rPr>
          <w:rFonts w:hint="eastAsia"/>
        </w:rPr>
        <w:t>注胶及加热设备搭</w:t>
      </w:r>
      <w:r w:rsidRPr="00032670">
        <w:t>建方案》；</w:t>
      </w:r>
    </w:p>
    <w:p w:rsidR="003A2603" w:rsidRPr="00032670" w:rsidRDefault="003A2603" w:rsidP="003A2603">
      <w:pPr>
        <w:pStyle w:val="a4"/>
        <w:numPr>
          <w:ilvl w:val="0"/>
          <w:numId w:val="5"/>
        </w:numPr>
        <w:spacing w:line="360" w:lineRule="auto"/>
        <w:ind w:firstLineChars="0"/>
      </w:pPr>
      <w:r w:rsidRPr="00032670">
        <w:t>《</w:t>
      </w:r>
      <w:r w:rsidRPr="00032670">
        <w:rPr>
          <w:rFonts w:hint="eastAsia"/>
        </w:rPr>
        <w:t>VPI</w:t>
      </w:r>
      <w:r w:rsidRPr="00032670">
        <w:rPr>
          <w:rFonts w:hint="eastAsia"/>
        </w:rPr>
        <w:t>注胶及加热设备</w:t>
      </w:r>
      <w:r w:rsidRPr="00032670">
        <w:t>进度计划》；</w:t>
      </w:r>
    </w:p>
    <w:p w:rsidR="003A2603" w:rsidRPr="00032670" w:rsidRDefault="003A2603" w:rsidP="003A2603">
      <w:pPr>
        <w:pStyle w:val="a4"/>
        <w:numPr>
          <w:ilvl w:val="0"/>
          <w:numId w:val="5"/>
        </w:numPr>
        <w:spacing w:line="360" w:lineRule="auto"/>
        <w:ind w:firstLineChars="0"/>
      </w:pPr>
      <w:r w:rsidRPr="00032670">
        <w:t>《</w:t>
      </w:r>
      <w:r w:rsidRPr="00032670">
        <w:rPr>
          <w:rFonts w:hint="eastAsia"/>
        </w:rPr>
        <w:t>VPI</w:t>
      </w:r>
      <w:r w:rsidRPr="00032670">
        <w:rPr>
          <w:rFonts w:hint="eastAsia"/>
        </w:rPr>
        <w:t>注胶及加热设备</w:t>
      </w:r>
      <w:r w:rsidRPr="00032670">
        <w:t>验收计划与方案》；</w:t>
      </w:r>
    </w:p>
    <w:p w:rsidR="003A2603" w:rsidRPr="00032670" w:rsidRDefault="003A2603" w:rsidP="003A2603">
      <w:pPr>
        <w:spacing w:line="360" w:lineRule="auto"/>
      </w:pPr>
      <w:bookmarkStart w:id="15" w:name="_Toc146025224"/>
      <w:r w:rsidRPr="00032670">
        <w:rPr>
          <w:rFonts w:hint="eastAsia"/>
        </w:rPr>
        <w:t>阶段</w:t>
      </w:r>
      <w:r w:rsidRPr="00032670">
        <w:rPr>
          <w:rFonts w:hint="eastAsia"/>
        </w:rPr>
        <w:t>2</w:t>
      </w:r>
      <w:r w:rsidRPr="00032670">
        <w:rPr>
          <w:rFonts w:hint="eastAsia"/>
        </w:rPr>
        <w:t>：</w:t>
      </w:r>
      <w:bookmarkStart w:id="16" w:name="_Hlk156139018"/>
      <w:r w:rsidRPr="00032670">
        <w:rPr>
          <w:rFonts w:hint="eastAsia"/>
        </w:rPr>
        <w:t>VPI</w:t>
      </w:r>
      <w:r w:rsidRPr="00032670">
        <w:rPr>
          <w:rFonts w:hint="eastAsia"/>
        </w:rPr>
        <w:t>注胶及加热设备</w:t>
      </w:r>
      <w:bookmarkEnd w:id="15"/>
      <w:bookmarkEnd w:id="16"/>
      <w:r w:rsidRPr="00032670">
        <w:rPr>
          <w:rFonts w:hint="eastAsia"/>
        </w:rPr>
        <w:t>制造</w:t>
      </w:r>
    </w:p>
    <w:p w:rsidR="003A2603" w:rsidRPr="00032670" w:rsidRDefault="003A2603" w:rsidP="003A2603">
      <w:pPr>
        <w:spacing w:line="360" w:lineRule="auto"/>
        <w:ind w:firstLineChars="200" w:firstLine="420"/>
      </w:pPr>
      <w:r w:rsidRPr="00032670">
        <w:rPr>
          <w:rFonts w:hint="eastAsia"/>
        </w:rPr>
        <w:t>按照本技术要求以及经过评审后的</w:t>
      </w:r>
      <w:r w:rsidRPr="00032670">
        <w:t>《</w:t>
      </w:r>
      <w:r w:rsidRPr="00032670">
        <w:rPr>
          <w:rFonts w:hint="eastAsia"/>
        </w:rPr>
        <w:t>P</w:t>
      </w:r>
      <w:r w:rsidRPr="00032670">
        <w:t>F</w:t>
      </w:r>
      <w:r w:rsidRPr="00032670">
        <w:rPr>
          <w:rFonts w:hint="eastAsia"/>
        </w:rPr>
        <w:t>线圈</w:t>
      </w:r>
      <w:r w:rsidRPr="00032670">
        <w:rPr>
          <w:rFonts w:hint="eastAsia"/>
        </w:rPr>
        <w:t>VPI</w:t>
      </w:r>
      <w:r w:rsidRPr="00032670">
        <w:rPr>
          <w:rFonts w:hint="eastAsia"/>
        </w:rPr>
        <w:t>技术</w:t>
      </w:r>
      <w:r w:rsidRPr="00032670">
        <w:t>方案》</w:t>
      </w:r>
      <w:r w:rsidRPr="00032670">
        <w:rPr>
          <w:rFonts w:hint="eastAsia"/>
        </w:rPr>
        <w:t>、</w:t>
      </w:r>
      <w:r w:rsidRPr="00032670">
        <w:t>《</w:t>
      </w:r>
      <w:r w:rsidRPr="00032670">
        <w:rPr>
          <w:rFonts w:hint="eastAsia"/>
        </w:rPr>
        <w:t>VPI</w:t>
      </w:r>
      <w:r w:rsidRPr="00032670">
        <w:rPr>
          <w:rFonts w:hint="eastAsia"/>
        </w:rPr>
        <w:t>注胶及加热设备搭</w:t>
      </w:r>
      <w:r w:rsidRPr="00032670">
        <w:t>建方案》</w:t>
      </w:r>
      <w:r w:rsidRPr="00032670">
        <w:rPr>
          <w:rFonts w:hint="eastAsia"/>
        </w:rPr>
        <w:t>、</w:t>
      </w:r>
      <w:r w:rsidRPr="00032670">
        <w:t>《</w:t>
      </w:r>
      <w:r w:rsidRPr="00032670">
        <w:rPr>
          <w:rFonts w:hint="eastAsia"/>
        </w:rPr>
        <w:t>VPI</w:t>
      </w:r>
      <w:r w:rsidRPr="00032670">
        <w:rPr>
          <w:rFonts w:hint="eastAsia"/>
        </w:rPr>
        <w:t>注胶及加热设备</w:t>
      </w:r>
      <w:r w:rsidRPr="00032670">
        <w:t>进度计划》</w:t>
      </w:r>
      <w:r w:rsidRPr="00032670">
        <w:rPr>
          <w:rFonts w:hint="eastAsia"/>
        </w:rPr>
        <w:t>、</w:t>
      </w:r>
      <w:r w:rsidRPr="00032670">
        <w:t>《</w:t>
      </w:r>
      <w:r w:rsidRPr="00032670">
        <w:rPr>
          <w:rFonts w:hint="eastAsia"/>
        </w:rPr>
        <w:t>VPI</w:t>
      </w:r>
      <w:r w:rsidRPr="00032670">
        <w:rPr>
          <w:rFonts w:hint="eastAsia"/>
        </w:rPr>
        <w:t>注胶及加热设备</w:t>
      </w:r>
      <w:r w:rsidRPr="00032670">
        <w:t>验收计划与方案》</w:t>
      </w:r>
      <w:r w:rsidRPr="00032670">
        <w:rPr>
          <w:rFonts w:hint="eastAsia"/>
        </w:rPr>
        <w:t>进行</w:t>
      </w:r>
      <w:r w:rsidRPr="00032670">
        <w:rPr>
          <w:rFonts w:hint="eastAsia"/>
        </w:rPr>
        <w:t>VPI</w:t>
      </w:r>
      <w:r w:rsidRPr="00032670">
        <w:rPr>
          <w:rFonts w:hint="eastAsia"/>
        </w:rPr>
        <w:t>注胶及加热设备制造工作，</w:t>
      </w:r>
      <w:r w:rsidRPr="00032670">
        <w:t>工作结束后，乙方需提交《</w:t>
      </w:r>
      <w:r w:rsidRPr="00032670">
        <w:rPr>
          <w:rFonts w:hint="eastAsia"/>
        </w:rPr>
        <w:t>VPI</w:t>
      </w:r>
      <w:r w:rsidRPr="00032670">
        <w:rPr>
          <w:rFonts w:hint="eastAsia"/>
        </w:rPr>
        <w:t>注胶及加热设备出厂</w:t>
      </w:r>
      <w:r w:rsidRPr="00032670">
        <w:t>验收报告》</w:t>
      </w:r>
      <w:r w:rsidRPr="00032670">
        <w:rPr>
          <w:rFonts w:hint="eastAsia"/>
        </w:rPr>
        <w:t>。</w:t>
      </w:r>
    </w:p>
    <w:p w:rsidR="003A2603" w:rsidRPr="00032670" w:rsidRDefault="003A2603" w:rsidP="003A2603">
      <w:pPr>
        <w:spacing w:line="360" w:lineRule="auto"/>
      </w:pPr>
      <w:r w:rsidRPr="00032670">
        <w:rPr>
          <w:rFonts w:hint="eastAsia"/>
        </w:rPr>
        <w:t>阶段</w:t>
      </w:r>
      <w:r w:rsidRPr="00032670">
        <w:rPr>
          <w:rFonts w:hint="eastAsia"/>
        </w:rPr>
        <w:t>3</w:t>
      </w:r>
      <w:r w:rsidRPr="00032670">
        <w:rPr>
          <w:rFonts w:hint="eastAsia"/>
        </w:rPr>
        <w:t>：设备安装与调试</w:t>
      </w:r>
    </w:p>
    <w:p w:rsidR="003A2603" w:rsidRPr="00032670" w:rsidRDefault="003A2603" w:rsidP="003A2603">
      <w:pPr>
        <w:spacing w:line="360" w:lineRule="auto"/>
        <w:ind w:firstLineChars="200" w:firstLine="420"/>
      </w:pPr>
      <w:r w:rsidRPr="00032670">
        <w:lastRenderedPageBreak/>
        <w:t>乙方在将设备运输至甲方指定地点进行设备安装及调试，主要内容为抽气及打压系统、</w:t>
      </w:r>
      <w:r w:rsidRPr="00032670">
        <w:rPr>
          <w:rFonts w:hint="eastAsia"/>
        </w:rPr>
        <w:t>内外部加热电源、</w:t>
      </w:r>
      <w:proofErr w:type="gramStart"/>
      <w:r w:rsidRPr="00032670">
        <w:t>混胶脱气</w:t>
      </w:r>
      <w:proofErr w:type="gramEnd"/>
      <w:r w:rsidRPr="00032670">
        <w:t>设备的安装与调试</w:t>
      </w:r>
      <w:r w:rsidRPr="00032670">
        <w:rPr>
          <w:rFonts w:hint="eastAsia"/>
        </w:rPr>
        <w:t>。</w:t>
      </w:r>
    </w:p>
    <w:p w:rsidR="003A2603" w:rsidRPr="00032670" w:rsidRDefault="003A2603" w:rsidP="003A2603">
      <w:pPr>
        <w:pStyle w:val="a3"/>
        <w:ind w:left="840" w:hanging="420"/>
        <w:rPr>
          <w:rFonts w:ascii="Times New Roman" w:hAnsi="Times New Roman"/>
          <w:kern w:val="2"/>
          <w:sz w:val="21"/>
          <w:lang w:eastAsia="zh-CN"/>
        </w:rPr>
      </w:pPr>
      <w:r w:rsidRPr="00032670">
        <w:rPr>
          <w:rFonts w:ascii="Times New Roman" w:hAnsi="Times New Roman" w:hint="eastAsia"/>
          <w:kern w:val="2"/>
          <w:sz w:val="21"/>
          <w:lang w:eastAsia="zh-CN"/>
        </w:rPr>
        <w:t>该阶段须提交的文件清单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5956"/>
        <w:gridCol w:w="1509"/>
      </w:tblGrid>
      <w:tr w:rsidR="003A2603" w:rsidRPr="00032670" w:rsidTr="00AF0F22">
        <w:tc>
          <w:tcPr>
            <w:tcW w:w="876" w:type="dxa"/>
          </w:tcPr>
          <w:p w:rsidR="003A2603" w:rsidRPr="00032670" w:rsidRDefault="003A2603" w:rsidP="00AF0F22">
            <w:pPr>
              <w:jc w:val="center"/>
            </w:pPr>
            <w:r w:rsidRPr="00032670">
              <w:rPr>
                <w:rFonts w:hint="eastAsia"/>
              </w:rPr>
              <w:t>序号</w:t>
            </w:r>
          </w:p>
        </w:tc>
        <w:tc>
          <w:tcPr>
            <w:tcW w:w="6546" w:type="dxa"/>
          </w:tcPr>
          <w:p w:rsidR="003A2603" w:rsidRPr="00032670" w:rsidRDefault="003A2603" w:rsidP="00AF0F22">
            <w:pPr>
              <w:jc w:val="center"/>
            </w:pPr>
            <w:r w:rsidRPr="00032670">
              <w:rPr>
                <w:rFonts w:hint="eastAsia"/>
              </w:rPr>
              <w:t>文件名称</w:t>
            </w:r>
          </w:p>
        </w:tc>
        <w:tc>
          <w:tcPr>
            <w:tcW w:w="1629" w:type="dxa"/>
          </w:tcPr>
          <w:p w:rsidR="003A2603" w:rsidRPr="00032670" w:rsidRDefault="003A2603" w:rsidP="00AF0F22">
            <w:pPr>
              <w:jc w:val="center"/>
            </w:pPr>
            <w:r w:rsidRPr="00032670">
              <w:rPr>
                <w:rFonts w:hint="eastAsia"/>
              </w:rPr>
              <w:t>备注</w:t>
            </w:r>
          </w:p>
        </w:tc>
      </w:tr>
      <w:tr w:rsidR="003A2603" w:rsidRPr="00032670" w:rsidTr="00AF0F22">
        <w:tc>
          <w:tcPr>
            <w:tcW w:w="876" w:type="dxa"/>
            <w:vAlign w:val="center"/>
          </w:tcPr>
          <w:p w:rsidR="003A2603" w:rsidRPr="00032670" w:rsidRDefault="003A2603" w:rsidP="00AF0F22">
            <w:pPr>
              <w:jc w:val="center"/>
            </w:pPr>
            <w:r w:rsidRPr="00032670">
              <w:t>1</w:t>
            </w:r>
          </w:p>
        </w:tc>
        <w:tc>
          <w:tcPr>
            <w:tcW w:w="6546" w:type="dxa"/>
            <w:vAlign w:val="center"/>
          </w:tcPr>
          <w:p w:rsidR="003A2603" w:rsidRPr="00032670" w:rsidRDefault="003A2603" w:rsidP="00AF0F22">
            <w:pPr>
              <w:jc w:val="center"/>
            </w:pPr>
            <w:r w:rsidRPr="00032670">
              <w:t>《设备安装与调试方案》</w:t>
            </w:r>
          </w:p>
        </w:tc>
        <w:tc>
          <w:tcPr>
            <w:tcW w:w="1629" w:type="dxa"/>
            <w:vAlign w:val="center"/>
          </w:tcPr>
          <w:p w:rsidR="003A2603" w:rsidRPr="00032670" w:rsidRDefault="003A2603" w:rsidP="00AF0F22">
            <w:pPr>
              <w:jc w:val="center"/>
            </w:pPr>
          </w:p>
        </w:tc>
      </w:tr>
      <w:tr w:rsidR="003A2603" w:rsidRPr="00032670" w:rsidTr="00AF0F22">
        <w:tc>
          <w:tcPr>
            <w:tcW w:w="876" w:type="dxa"/>
            <w:vAlign w:val="center"/>
          </w:tcPr>
          <w:p w:rsidR="003A2603" w:rsidRPr="00032670" w:rsidRDefault="003A2603" w:rsidP="00AF0F22">
            <w:pPr>
              <w:jc w:val="center"/>
            </w:pPr>
            <w:r w:rsidRPr="00032670">
              <w:rPr>
                <w:rFonts w:hint="eastAsia"/>
              </w:rPr>
              <w:t>2</w:t>
            </w:r>
          </w:p>
        </w:tc>
        <w:tc>
          <w:tcPr>
            <w:tcW w:w="6546" w:type="dxa"/>
            <w:vAlign w:val="center"/>
          </w:tcPr>
          <w:p w:rsidR="003A2603" w:rsidRPr="00032670" w:rsidRDefault="003A2603" w:rsidP="00AF0F22">
            <w:pPr>
              <w:jc w:val="center"/>
            </w:pPr>
            <w:r w:rsidRPr="00032670">
              <w:t>《设备安装及调试阶段验收报告及相关记录》</w:t>
            </w:r>
          </w:p>
        </w:tc>
        <w:tc>
          <w:tcPr>
            <w:tcW w:w="1629" w:type="dxa"/>
            <w:vAlign w:val="center"/>
          </w:tcPr>
          <w:p w:rsidR="003A2603" w:rsidRPr="00032670" w:rsidRDefault="003A2603" w:rsidP="00AF0F22">
            <w:pPr>
              <w:jc w:val="center"/>
            </w:pPr>
          </w:p>
        </w:tc>
      </w:tr>
    </w:tbl>
    <w:p w:rsidR="003A2603" w:rsidRPr="00032670" w:rsidRDefault="003A2603" w:rsidP="003A2603">
      <w:pPr>
        <w:spacing w:line="360" w:lineRule="auto"/>
        <w:ind w:firstLineChars="200" w:firstLine="420"/>
        <w:rPr>
          <w:rFonts w:hint="eastAsia"/>
        </w:rPr>
      </w:pPr>
    </w:p>
    <w:p w:rsidR="003A2603" w:rsidRPr="00032670" w:rsidRDefault="003A2603" w:rsidP="003A2603">
      <w:pPr>
        <w:spacing w:line="360" w:lineRule="auto"/>
      </w:pPr>
      <w:r w:rsidRPr="00032670">
        <w:rPr>
          <w:rFonts w:hint="eastAsia"/>
        </w:rPr>
        <w:t>阶段</w:t>
      </w:r>
      <w:r w:rsidRPr="00032670">
        <w:t>4</w:t>
      </w:r>
      <w:r w:rsidRPr="00032670">
        <w:rPr>
          <w:rFonts w:hint="eastAsia"/>
        </w:rPr>
        <w:t>：最终验收</w:t>
      </w:r>
    </w:p>
    <w:p w:rsidR="003A2603" w:rsidRPr="00032670" w:rsidRDefault="003A2603" w:rsidP="003A2603">
      <w:pPr>
        <w:pStyle w:val="a4"/>
        <w:spacing w:line="360" w:lineRule="auto"/>
        <w:ind w:firstLineChars="0"/>
        <w:rPr>
          <w:sz w:val="24"/>
        </w:rPr>
      </w:pPr>
      <w:r w:rsidRPr="00032670">
        <w:rPr>
          <w:rFonts w:hint="eastAsia"/>
        </w:rPr>
        <w:t>乙方协助甲方完成</w:t>
      </w:r>
      <w:r w:rsidRPr="00032670">
        <w:rPr>
          <w:rFonts w:hint="eastAsia"/>
        </w:rPr>
        <w:t>PF</w:t>
      </w:r>
      <w:r w:rsidRPr="00032670">
        <w:rPr>
          <w:rFonts w:hint="eastAsia"/>
        </w:rPr>
        <w:t>第一个线圈</w:t>
      </w:r>
      <w:r w:rsidRPr="00032670">
        <w:rPr>
          <w:rFonts w:hint="eastAsia"/>
        </w:rPr>
        <w:t>V</w:t>
      </w:r>
      <w:r w:rsidRPr="00032670">
        <w:t>PI</w:t>
      </w:r>
      <w:r w:rsidRPr="00032670">
        <w:rPr>
          <w:rFonts w:hint="eastAsia"/>
        </w:rPr>
        <w:t>工作，视为最终验收，并在最终过程中完成对甲方操作人员的培训工作；对于</w:t>
      </w:r>
      <w:r w:rsidRPr="00032670">
        <w:rPr>
          <w:rFonts w:hint="eastAsia"/>
        </w:rPr>
        <w:t>PF</w:t>
      </w:r>
      <w:r w:rsidRPr="00032670">
        <w:rPr>
          <w:rFonts w:hint="eastAsia"/>
        </w:rPr>
        <w:t>线圈</w:t>
      </w:r>
      <w:r w:rsidRPr="00032670">
        <w:rPr>
          <w:rFonts w:hint="eastAsia"/>
        </w:rPr>
        <w:t>V</w:t>
      </w:r>
      <w:r w:rsidRPr="00032670">
        <w:t>PI</w:t>
      </w:r>
      <w:r w:rsidRPr="00032670">
        <w:rPr>
          <w:rFonts w:hint="eastAsia"/>
        </w:rPr>
        <w:t>注胶及加热设备验收过程中发现或产生的问题，乙方需根据本技术要求或甲方提出的要求及时进行设备</w:t>
      </w:r>
      <w:r w:rsidRPr="00032670">
        <w:rPr>
          <w:rFonts w:hint="eastAsia"/>
        </w:rPr>
        <w:t>/</w:t>
      </w:r>
      <w:r w:rsidRPr="00032670">
        <w:rPr>
          <w:rFonts w:hint="eastAsia"/>
        </w:rPr>
        <w:t>工装升级改造或设计修改，直至满足甲方工程需求为止。</w:t>
      </w:r>
    </w:p>
    <w:p w:rsidR="003A2603" w:rsidRPr="00032670" w:rsidRDefault="003A2603" w:rsidP="003A2603">
      <w:pPr>
        <w:spacing w:line="360" w:lineRule="auto"/>
        <w:ind w:firstLineChars="200" w:firstLine="480"/>
        <w:rPr>
          <w:rFonts w:hint="eastAsia"/>
          <w:sz w:val="24"/>
        </w:rPr>
      </w:pPr>
    </w:p>
    <w:p w:rsidR="003A2603" w:rsidRPr="00032670" w:rsidRDefault="003A2603" w:rsidP="003A2603">
      <w:pPr>
        <w:adjustRightInd w:val="0"/>
        <w:snapToGrid w:val="0"/>
        <w:spacing w:beforeLines="50" w:before="156" w:line="360" w:lineRule="auto"/>
        <w:rPr>
          <w:b/>
          <w:sz w:val="24"/>
        </w:rPr>
      </w:pPr>
      <w:r w:rsidRPr="00032670">
        <w:rPr>
          <w:b/>
          <w:sz w:val="24"/>
        </w:rPr>
        <w:t>2.6</w:t>
      </w:r>
      <w:r w:rsidRPr="00032670">
        <w:rPr>
          <w:rFonts w:hint="eastAsia"/>
          <w:b/>
          <w:sz w:val="24"/>
        </w:rPr>
        <w:t>、</w:t>
      </w:r>
      <w:r w:rsidRPr="00032670">
        <w:rPr>
          <w:b/>
          <w:sz w:val="24"/>
        </w:rPr>
        <w:t xml:space="preserve"> </w:t>
      </w:r>
      <w:r w:rsidRPr="00032670">
        <w:rPr>
          <w:b/>
          <w:sz w:val="24"/>
        </w:rPr>
        <w:t>技术服务要求及质保要求</w:t>
      </w:r>
    </w:p>
    <w:p w:rsidR="003A2603" w:rsidRPr="00032670" w:rsidRDefault="003A2603" w:rsidP="003A2603">
      <w:pPr>
        <w:pStyle w:val="a4"/>
        <w:numPr>
          <w:ilvl w:val="0"/>
          <w:numId w:val="6"/>
        </w:numPr>
        <w:spacing w:line="360" w:lineRule="auto"/>
        <w:ind w:firstLineChars="0"/>
      </w:pPr>
      <w:r w:rsidRPr="00032670">
        <w:t>供应商必须具有提供原厂售后服务的能力，维修人员应在</w:t>
      </w:r>
      <w:r w:rsidRPr="00032670">
        <w:t>24</w:t>
      </w:r>
      <w:r w:rsidRPr="00032670">
        <w:t>小时内到达现场；</w:t>
      </w:r>
    </w:p>
    <w:p w:rsidR="003A2603" w:rsidRPr="00032670" w:rsidRDefault="003A2603" w:rsidP="003A2603">
      <w:pPr>
        <w:pStyle w:val="a4"/>
        <w:numPr>
          <w:ilvl w:val="0"/>
          <w:numId w:val="6"/>
        </w:numPr>
        <w:adjustRightInd w:val="0"/>
        <w:snapToGrid w:val="0"/>
        <w:spacing w:beforeLines="50" w:before="156" w:line="360" w:lineRule="auto"/>
        <w:ind w:firstLineChars="0"/>
        <w:rPr>
          <w:bCs/>
        </w:rPr>
      </w:pPr>
      <w:r w:rsidRPr="00032670">
        <w:rPr>
          <w:bCs/>
        </w:rPr>
        <w:t>质保期期限：</w:t>
      </w:r>
      <w:bookmarkStart w:id="17" w:name="_Hlk156321186"/>
      <w:r w:rsidRPr="00032670">
        <w:rPr>
          <w:bCs/>
        </w:rPr>
        <w:t>质保</w:t>
      </w:r>
      <w:r w:rsidRPr="00032670">
        <w:rPr>
          <w:rFonts w:hint="eastAsia"/>
          <w:bCs/>
        </w:rPr>
        <w:t>1</w:t>
      </w:r>
      <w:r w:rsidRPr="00032670">
        <w:rPr>
          <w:bCs/>
        </w:rPr>
        <w:t>年（</w:t>
      </w:r>
      <w:proofErr w:type="gramStart"/>
      <w:r w:rsidRPr="00032670">
        <w:rPr>
          <w:rFonts w:hint="eastAsia"/>
          <w:bCs/>
        </w:rPr>
        <w:t>自最终</w:t>
      </w:r>
      <w:proofErr w:type="gramEnd"/>
      <w:r w:rsidRPr="00032670">
        <w:rPr>
          <w:bCs/>
        </w:rPr>
        <w:t>验收合格之日起计），</w:t>
      </w:r>
      <w:r w:rsidRPr="00032670">
        <w:rPr>
          <w:rFonts w:hint="eastAsia"/>
          <w:bCs/>
        </w:rPr>
        <w:t>如乙方在此基础上增加质保期限，则以乙方最终实际响应的期限为准。质保期</w:t>
      </w:r>
      <w:r w:rsidRPr="00032670">
        <w:rPr>
          <w:bCs/>
        </w:rPr>
        <w:t>内</w:t>
      </w:r>
      <w:r w:rsidRPr="00032670">
        <w:rPr>
          <w:rFonts w:hint="eastAsia"/>
          <w:bCs/>
        </w:rPr>
        <w:t>核心设备非人为原因损坏，则无偿维修并确保不影响甲方正常使用。如经三次维修仍存在类似质量问题或者出现影响主要使用性能的质量问题，乙方应及时无条件地更换同类型产品。</w:t>
      </w:r>
      <w:r w:rsidRPr="00032670">
        <w:rPr>
          <w:bCs/>
        </w:rPr>
        <w:t>软、硬件免费升级、</w:t>
      </w:r>
      <w:r w:rsidRPr="00032670">
        <w:rPr>
          <w:rFonts w:hint="eastAsia"/>
          <w:bCs/>
        </w:rPr>
        <w:t>维护</w:t>
      </w:r>
      <w:r w:rsidRPr="00032670">
        <w:rPr>
          <w:bCs/>
        </w:rPr>
        <w:t>、易损件更换及保养，</w:t>
      </w:r>
      <w:r w:rsidRPr="00032670">
        <w:rPr>
          <w:rFonts w:hint="eastAsia"/>
          <w:bCs/>
        </w:rPr>
        <w:t>质保</w:t>
      </w:r>
      <w:r w:rsidRPr="00032670">
        <w:rPr>
          <w:bCs/>
        </w:rPr>
        <w:t>期结束后，</w:t>
      </w:r>
      <w:r w:rsidRPr="00032670">
        <w:rPr>
          <w:rFonts w:hint="eastAsia"/>
          <w:bCs/>
        </w:rPr>
        <w:t>乙方</w:t>
      </w:r>
      <w:r w:rsidRPr="00032670">
        <w:rPr>
          <w:bCs/>
        </w:rPr>
        <w:t>还必须提供设备的维护和维修服务。</w:t>
      </w:r>
      <w:bookmarkEnd w:id="17"/>
    </w:p>
    <w:p w:rsidR="003A2603" w:rsidRPr="00032670" w:rsidRDefault="003A2603" w:rsidP="003A2603">
      <w:pPr>
        <w:numPr>
          <w:ilvl w:val="0"/>
          <w:numId w:val="6"/>
        </w:numPr>
        <w:adjustRightInd w:val="0"/>
        <w:snapToGrid w:val="0"/>
        <w:spacing w:beforeLines="50" w:before="156" w:line="360" w:lineRule="auto"/>
        <w:rPr>
          <w:bCs/>
        </w:rPr>
      </w:pPr>
      <w:r w:rsidRPr="00032670">
        <w:rPr>
          <w:bCs/>
        </w:rPr>
        <w:t>所提供的零部件、备品备件必须为原装原厂产品。</w:t>
      </w:r>
    </w:p>
    <w:p w:rsidR="003A2603" w:rsidRPr="003A2603" w:rsidRDefault="003A2603">
      <w:bookmarkStart w:id="18" w:name="_GoBack"/>
      <w:bookmarkEnd w:id="18"/>
    </w:p>
    <w:sectPr w:rsidR="003A2603" w:rsidRPr="003A2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3E94AB"/>
    <w:multiLevelType w:val="singleLevel"/>
    <w:tmpl w:val="A03E94AB"/>
    <w:lvl w:ilvl="0">
      <w:start w:val="1"/>
      <w:numFmt w:val="decimal"/>
      <w:lvlText w:val="%1)"/>
      <w:lvlJc w:val="left"/>
      <w:pPr>
        <w:ind w:left="425" w:hanging="425"/>
      </w:pPr>
      <w:rPr>
        <w:rFonts w:hint="default"/>
      </w:rPr>
    </w:lvl>
  </w:abstractNum>
  <w:abstractNum w:abstractNumId="1" w15:restartNumberingAfterBreak="0">
    <w:nsid w:val="DCC8DCAF"/>
    <w:multiLevelType w:val="singleLevel"/>
    <w:tmpl w:val="DCC8DCAF"/>
    <w:lvl w:ilvl="0">
      <w:start w:val="1"/>
      <w:numFmt w:val="decimal"/>
      <w:lvlText w:val="%1)"/>
      <w:lvlJc w:val="left"/>
      <w:pPr>
        <w:ind w:left="425" w:hanging="425"/>
      </w:pPr>
      <w:rPr>
        <w:rFonts w:hint="default"/>
      </w:rPr>
    </w:lvl>
  </w:abstractNum>
  <w:abstractNum w:abstractNumId="2" w15:restartNumberingAfterBreak="0">
    <w:nsid w:val="E94F19D6"/>
    <w:multiLevelType w:val="singleLevel"/>
    <w:tmpl w:val="E94F19D6"/>
    <w:lvl w:ilvl="0">
      <w:start w:val="1"/>
      <w:numFmt w:val="decimal"/>
      <w:lvlText w:val="%1)"/>
      <w:lvlJc w:val="left"/>
      <w:pPr>
        <w:ind w:left="425" w:hanging="425"/>
      </w:pPr>
      <w:rPr>
        <w:rFonts w:hint="default"/>
      </w:rPr>
    </w:lvl>
  </w:abstractNum>
  <w:abstractNum w:abstractNumId="3" w15:restartNumberingAfterBreak="0">
    <w:nsid w:val="10E5484A"/>
    <w:multiLevelType w:val="multilevel"/>
    <w:tmpl w:val="10E5484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4511235"/>
    <w:multiLevelType w:val="singleLevel"/>
    <w:tmpl w:val="14511235"/>
    <w:lvl w:ilvl="0">
      <w:start w:val="1"/>
      <w:numFmt w:val="decimal"/>
      <w:lvlText w:val="%1)"/>
      <w:lvlJc w:val="left"/>
      <w:pPr>
        <w:ind w:left="425" w:hanging="425"/>
      </w:pPr>
      <w:rPr>
        <w:rFonts w:hint="default"/>
      </w:rPr>
    </w:lvl>
  </w:abstractNum>
  <w:abstractNum w:abstractNumId="5" w15:restartNumberingAfterBreak="0">
    <w:nsid w:val="38B1195E"/>
    <w:multiLevelType w:val="multilevel"/>
    <w:tmpl w:val="38B119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03"/>
    <w:rsid w:val="003A2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40114-64AB-45E7-BDD4-69E68A1B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60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A260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3A260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3A2603"/>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3A2603"/>
    <w:rPr>
      <w:rFonts w:ascii="Cambria" w:eastAsia="宋体" w:hAnsi="Cambria" w:cs="Times New Roman"/>
      <w:b/>
      <w:bCs/>
      <w:sz w:val="32"/>
      <w:szCs w:val="32"/>
    </w:rPr>
  </w:style>
  <w:style w:type="paragraph" w:styleId="a3">
    <w:name w:val="table of figures"/>
    <w:basedOn w:val="a"/>
    <w:next w:val="a"/>
    <w:qFormat/>
    <w:rsid w:val="003A2603"/>
    <w:pPr>
      <w:widowControl/>
      <w:adjustRightInd w:val="0"/>
      <w:snapToGrid w:val="0"/>
      <w:spacing w:before="100" w:line="360" w:lineRule="auto"/>
      <w:ind w:leftChars="200" w:left="200" w:hangingChars="200" w:hanging="200"/>
      <w:jc w:val="left"/>
    </w:pPr>
    <w:rPr>
      <w:rFonts w:ascii="Calibri" w:hAnsi="Calibri"/>
      <w:kern w:val="0"/>
      <w:sz w:val="24"/>
      <w:lang w:eastAsia="en-US"/>
    </w:rPr>
  </w:style>
  <w:style w:type="paragraph" w:styleId="a4">
    <w:name w:val="List Paragraph"/>
    <w:basedOn w:val="a"/>
    <w:uiPriority w:val="34"/>
    <w:qFormat/>
    <w:rsid w:val="003A26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2024-01-19T03:51:00Z</dcterms:created>
  <dcterms:modified xsi:type="dcterms:W3CDTF">2024-01-19T03:51:00Z</dcterms:modified>
</cp:coreProperties>
</file>