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54" w:rsidRPr="00D46AA6" w:rsidRDefault="004C0654" w:rsidP="004C0654">
      <w:pPr>
        <w:pStyle w:val="1"/>
        <w:widowControl/>
        <w:snapToGrid w:val="0"/>
        <w:spacing w:before="0" w:after="0" w:line="360" w:lineRule="auto"/>
        <w:jc w:val="center"/>
        <w:rPr>
          <w:rFonts w:ascii="宋体" w:hAnsi="宋体" w:hint="eastAsia"/>
        </w:rPr>
      </w:pPr>
      <w:r w:rsidRPr="00D46AA6">
        <w:rPr>
          <w:rFonts w:ascii="宋体" w:hAnsi="宋体" w:hint="eastAsia"/>
        </w:rPr>
        <w:t>采购需求及技术规格要求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bookmarkStart w:id="0" w:name="_Hlk60938700"/>
      <w:r w:rsidRPr="00D46AA6">
        <w:rPr>
          <w:b/>
          <w:sz w:val="24"/>
        </w:rPr>
        <w:t>1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>货物需求一览表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33"/>
        <w:gridCol w:w="884"/>
        <w:gridCol w:w="1294"/>
        <w:gridCol w:w="1790"/>
      </w:tblGrid>
      <w:tr w:rsidR="004C0654" w:rsidRPr="00D46AA6" w:rsidTr="004531C2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预算（万元）</w:t>
            </w:r>
          </w:p>
        </w:tc>
        <w:tc>
          <w:tcPr>
            <w:tcW w:w="1790" w:type="dxa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交货期</w:t>
            </w:r>
          </w:p>
        </w:tc>
      </w:tr>
      <w:tr w:rsidR="004C0654" w:rsidRPr="00D46AA6" w:rsidTr="004531C2">
        <w:trPr>
          <w:trHeight w:val="33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I</w:t>
            </w:r>
            <w:r w:rsidRPr="00D46AA6">
              <w:rPr>
                <w:rFonts w:ascii="宋体" w:hAnsi="宋体"/>
                <w:szCs w:val="21"/>
              </w:rPr>
              <w:t>TER</w:t>
            </w:r>
            <w:r w:rsidRPr="00D46AA6">
              <w:rPr>
                <w:rFonts w:ascii="宋体" w:hAnsi="宋体" w:hint="eastAsia"/>
                <w:szCs w:val="21"/>
              </w:rPr>
              <w:t>诊断集成采购包放气率测量系统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3</w:t>
            </w:r>
            <w:r w:rsidRPr="00D46AA6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1790" w:type="dxa"/>
            <w:vAlign w:val="center"/>
          </w:tcPr>
          <w:p w:rsidR="004C0654" w:rsidRPr="00D46AA6" w:rsidRDefault="004C0654" w:rsidP="004531C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46AA6">
              <w:rPr>
                <w:rFonts w:ascii="宋体" w:hAnsi="宋体" w:hint="eastAsia"/>
                <w:szCs w:val="21"/>
              </w:rPr>
              <w:t>合同签订后，</w:t>
            </w:r>
            <w:r w:rsidRPr="00D46AA6">
              <w:rPr>
                <w:rFonts w:ascii="宋体" w:hAnsi="宋体"/>
                <w:szCs w:val="21"/>
              </w:rPr>
              <w:t>9</w:t>
            </w:r>
            <w:r w:rsidRPr="00D46AA6">
              <w:rPr>
                <w:rFonts w:ascii="宋体" w:hAnsi="宋体" w:hint="eastAsia"/>
                <w:szCs w:val="21"/>
              </w:rPr>
              <w:t>个月完成并验收</w:t>
            </w:r>
          </w:p>
        </w:tc>
      </w:tr>
    </w:tbl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bookmarkStart w:id="1" w:name="_Toc12010815"/>
      <w:bookmarkStart w:id="2" w:name="_Toc257021215"/>
      <w:bookmarkStart w:id="3" w:name="_Toc509153917"/>
      <w:bookmarkStart w:id="4" w:name="_Toc12010788"/>
      <w:bookmarkStart w:id="5" w:name="_Toc30409514"/>
      <w:bookmarkStart w:id="6" w:name="_Toc532807472"/>
      <w:r w:rsidRPr="00D46AA6">
        <w:rPr>
          <w:rFonts w:hint="eastAsia"/>
          <w:b/>
          <w:sz w:val="24"/>
        </w:rPr>
        <w:t>2</w:t>
      </w:r>
      <w:r w:rsidRPr="00D46AA6">
        <w:rPr>
          <w:rFonts w:hint="eastAsia"/>
          <w:b/>
          <w:sz w:val="24"/>
        </w:rPr>
        <w:t>、项目背景介绍</w:t>
      </w:r>
    </w:p>
    <w:p w:rsidR="004C0654" w:rsidRPr="00D46AA6" w:rsidRDefault="004C0654" w:rsidP="004C0654">
      <w:r w:rsidRPr="00D46AA6">
        <w:rPr>
          <w:rFonts w:hint="eastAsia"/>
        </w:rPr>
        <w:t>I</w:t>
      </w:r>
      <w:r w:rsidRPr="00D46AA6">
        <w:t>TER</w:t>
      </w:r>
      <w:r w:rsidRPr="00D46AA6">
        <w:rPr>
          <w:rFonts w:hint="eastAsia"/>
        </w:rPr>
        <w:t>诊断集成（</w:t>
      </w:r>
      <w:r w:rsidRPr="00D46AA6">
        <w:rPr>
          <w:rFonts w:hint="eastAsia"/>
        </w:rPr>
        <w:t>P</w:t>
      </w:r>
      <w:r w:rsidRPr="00D46AA6">
        <w:t>I</w:t>
      </w:r>
      <w:r w:rsidRPr="00D46AA6">
        <w:rPr>
          <w:rFonts w:hint="eastAsia"/>
        </w:rPr>
        <w:t>）采购包是</w:t>
      </w:r>
      <w:r w:rsidRPr="00D46AA6">
        <w:rPr>
          <w:rFonts w:hint="eastAsia"/>
        </w:rPr>
        <w:t>ASIPP</w:t>
      </w:r>
      <w:r w:rsidRPr="00D46AA6">
        <w:rPr>
          <w:rFonts w:hint="eastAsia"/>
        </w:rPr>
        <w:t>所承担的</w:t>
      </w:r>
      <w:r w:rsidRPr="00D46AA6">
        <w:rPr>
          <w:rFonts w:hint="eastAsia"/>
        </w:rPr>
        <w:t>ITER</w:t>
      </w:r>
      <w:r w:rsidRPr="00D46AA6">
        <w:rPr>
          <w:rFonts w:hint="eastAsia"/>
        </w:rPr>
        <w:t>国际合同项目，具体负责</w:t>
      </w:r>
      <w:r w:rsidRPr="00D46AA6">
        <w:rPr>
          <w:rFonts w:hint="eastAsia"/>
        </w:rPr>
        <w:t>ITER</w:t>
      </w:r>
      <w:r w:rsidRPr="00D46AA6">
        <w:rPr>
          <w:rFonts w:hint="eastAsia"/>
        </w:rPr>
        <w:t>装置赤道面第</w:t>
      </w:r>
      <w:r w:rsidRPr="00D46AA6">
        <w:rPr>
          <w:rFonts w:hint="eastAsia"/>
        </w:rPr>
        <w:t>12</w:t>
      </w:r>
      <w:r w:rsidRPr="00D46AA6">
        <w:rPr>
          <w:rFonts w:hint="eastAsia"/>
        </w:rPr>
        <w:t>号诊断窗口（</w:t>
      </w:r>
      <w:r w:rsidRPr="00D46AA6">
        <w:rPr>
          <w:rFonts w:hint="eastAsia"/>
        </w:rPr>
        <w:t>E</w:t>
      </w:r>
      <w:r w:rsidRPr="00D46AA6">
        <w:t>Q#12</w:t>
      </w:r>
      <w:r w:rsidRPr="00D46AA6">
        <w:rPr>
          <w:rFonts w:hint="eastAsia"/>
        </w:rPr>
        <w:t>）的集成设计、制造以及整体集成装配调试。窗口集成的功能是为子诊断系统提供精确定位平台、中子屏蔽，并保持结构完整性以抵抗热、电磁、核、地震和重力载荷。</w:t>
      </w:r>
      <w:r w:rsidRPr="00D46AA6">
        <w:rPr>
          <w:rFonts w:hint="eastAsia"/>
        </w:rPr>
        <w:t>EQ#12</w:t>
      </w:r>
      <w:r w:rsidRPr="00D46AA6">
        <w:rPr>
          <w:rFonts w:hint="eastAsia"/>
        </w:rPr>
        <w:t>窗口是第一等离子体运行必须使用的窗口之一，目前已经进入了全面的加工制造阶段。</w:t>
      </w:r>
    </w:p>
    <w:p w:rsidR="004C0654" w:rsidRPr="00D46AA6" w:rsidRDefault="004C0654" w:rsidP="004C0654">
      <w:pPr>
        <w:rPr>
          <w:rFonts w:hint="eastAsia"/>
        </w:rPr>
      </w:pPr>
      <w:r w:rsidRPr="00D46AA6">
        <w:rPr>
          <w:rFonts w:hint="eastAsia"/>
        </w:rPr>
        <w:t>在最终装配阶段，子诊断系统交付过来的部件，</w:t>
      </w:r>
      <w:r w:rsidRPr="00D46AA6">
        <w:rPr>
          <w:rFonts w:hint="eastAsia"/>
        </w:rPr>
        <w:t>P</w:t>
      </w:r>
      <w:r w:rsidRPr="00D46AA6">
        <w:t>I</w:t>
      </w:r>
      <w:r w:rsidRPr="00D46AA6">
        <w:rPr>
          <w:rFonts w:hint="eastAsia"/>
        </w:rPr>
        <w:t>采购</w:t>
      </w:r>
      <w:proofErr w:type="gramStart"/>
      <w:r w:rsidRPr="00D46AA6">
        <w:rPr>
          <w:rFonts w:hint="eastAsia"/>
        </w:rPr>
        <w:t>包内部</w:t>
      </w:r>
      <w:proofErr w:type="gramEnd"/>
      <w:r w:rsidRPr="00D46AA6">
        <w:rPr>
          <w:rFonts w:hint="eastAsia"/>
        </w:rPr>
        <w:t>零部件如碳化硼屏蔽块、不锈钢托盘等均需在</w:t>
      </w:r>
      <w:r w:rsidRPr="00D46AA6">
        <w:rPr>
          <w:rFonts w:hint="eastAsia"/>
        </w:rPr>
        <w:t>P</w:t>
      </w:r>
      <w:r w:rsidRPr="00D46AA6">
        <w:t>I</w:t>
      </w:r>
      <w:r w:rsidRPr="00D46AA6">
        <w:rPr>
          <w:rFonts w:hint="eastAsia"/>
        </w:rPr>
        <w:t>的厂房内进行组装。在交付至</w:t>
      </w:r>
      <w:r w:rsidRPr="00D46AA6">
        <w:rPr>
          <w:rFonts w:hint="eastAsia"/>
        </w:rPr>
        <w:t>I</w:t>
      </w:r>
      <w:r w:rsidRPr="00D46AA6">
        <w:t>TER</w:t>
      </w:r>
      <w:r w:rsidRPr="00D46AA6">
        <w:rPr>
          <w:rFonts w:hint="eastAsia"/>
        </w:rPr>
        <w:t>现场之后，整个窗口插件（真空内侧组件）会在</w:t>
      </w:r>
      <w:r w:rsidRPr="00D46AA6">
        <w:rPr>
          <w:rFonts w:hint="eastAsia"/>
        </w:rPr>
        <w:t>I</w:t>
      </w:r>
      <w:r w:rsidRPr="00D46AA6">
        <w:t>TER</w:t>
      </w:r>
      <w:r w:rsidRPr="00D46AA6">
        <w:rPr>
          <w:rFonts w:hint="eastAsia"/>
        </w:rPr>
        <w:t>总部的</w:t>
      </w:r>
      <w:r w:rsidRPr="00D46AA6">
        <w:rPr>
          <w:rFonts w:hint="eastAsia"/>
        </w:rPr>
        <w:t>P</w:t>
      </w:r>
      <w:r w:rsidRPr="00D46AA6">
        <w:t>PTF</w:t>
      </w:r>
      <w:r w:rsidRPr="00D46AA6">
        <w:rPr>
          <w:rFonts w:hint="eastAsia"/>
        </w:rPr>
        <w:t>实验室里进行验收检测，其中最重要的一条验收指标就是进行放气率的测量，组件的放气情况会影响真空度，进而影响等离子体放电。故拟搭建一个专用的测试平台来完成集成过程中的质量控制，确保每种材料每种部件都具备准入</w:t>
      </w:r>
      <w:r w:rsidRPr="00D46AA6">
        <w:rPr>
          <w:rFonts w:hint="eastAsia"/>
        </w:rPr>
        <w:t>I</w:t>
      </w:r>
      <w:r w:rsidRPr="00D46AA6">
        <w:t>TER</w:t>
      </w:r>
      <w:r w:rsidRPr="00D46AA6">
        <w:rPr>
          <w:rFonts w:hint="eastAsia"/>
        </w:rPr>
        <w:t>真空室的条件，即</w:t>
      </w:r>
      <w:r w:rsidRPr="00D46AA6">
        <w:t xml:space="preserve">100°C </w:t>
      </w:r>
      <w:r w:rsidRPr="00D46AA6">
        <w:rPr>
          <w:rFonts w:hint="eastAsia"/>
        </w:rPr>
        <w:t>下的最大稳态放气率氢气</w:t>
      </w:r>
      <w:r w:rsidRPr="00D46AA6">
        <w:t>1x10</w:t>
      </w:r>
      <w:r w:rsidRPr="00D46AA6">
        <w:rPr>
          <w:vertAlign w:val="superscript"/>
        </w:rPr>
        <w:t>-7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 xml:space="preserve"> ·s</w:t>
      </w:r>
      <w:r w:rsidRPr="00D46AA6">
        <w:rPr>
          <w:vertAlign w:val="superscript"/>
        </w:rPr>
        <w:t>-1</w:t>
      </w:r>
      <w:r w:rsidRPr="00D46AA6">
        <w:t xml:space="preserve"> ·m</w:t>
      </w:r>
      <w:r w:rsidRPr="00D46AA6">
        <w:rPr>
          <w:vertAlign w:val="superscript"/>
        </w:rPr>
        <w:t>-2</w:t>
      </w:r>
      <w:r w:rsidRPr="00D46AA6">
        <w:t xml:space="preserve"> </w:t>
      </w:r>
      <w:r w:rsidRPr="00D46AA6">
        <w:rPr>
          <w:rFonts w:hint="eastAsia"/>
        </w:rPr>
        <w:t>，杂质和氢气的比例小于</w:t>
      </w:r>
      <w:r w:rsidRPr="00D46AA6">
        <w:t>1/100</w:t>
      </w:r>
      <w:r w:rsidRPr="00D46AA6">
        <w:rPr>
          <w:rFonts w:hint="eastAsia"/>
        </w:rPr>
        <w:t>。另外如果被测物品烘烤至</w:t>
      </w:r>
      <w:r w:rsidRPr="00D46AA6">
        <w:t>200℃</w:t>
      </w:r>
      <w:r w:rsidRPr="00D46AA6">
        <w:rPr>
          <w:rFonts w:hint="eastAsia"/>
        </w:rPr>
        <w:t>降温到</w:t>
      </w:r>
      <w:r w:rsidRPr="00D46AA6">
        <w:t>100℃</w:t>
      </w:r>
      <w:r w:rsidRPr="00D46AA6">
        <w:rPr>
          <w:rFonts w:hint="eastAsia"/>
        </w:rPr>
        <w:t>进行测量，则氢气的稳态放气率应不大于</w:t>
      </w:r>
      <w:r w:rsidRPr="00D46AA6">
        <w:t>1x10</w:t>
      </w:r>
      <w:r w:rsidRPr="00D46AA6">
        <w:rPr>
          <w:vertAlign w:val="superscript"/>
        </w:rPr>
        <w:t>-8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t xml:space="preserve"> ·m</w:t>
      </w:r>
      <w:r w:rsidRPr="00D46AA6">
        <w:rPr>
          <w:vertAlign w:val="superscript"/>
        </w:rPr>
        <w:t>-2</w:t>
      </w:r>
      <w:r w:rsidRPr="00D46AA6">
        <w:t xml:space="preserve"> </w:t>
      </w:r>
      <w:r w:rsidRPr="00D46AA6">
        <w:rPr>
          <w:rFonts w:hint="eastAsia"/>
        </w:rPr>
        <w:t>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  <w:b/>
          <w:sz w:val="24"/>
        </w:rPr>
      </w:pPr>
      <w:r w:rsidRPr="00D46AA6">
        <w:rPr>
          <w:b/>
          <w:sz w:val="24"/>
        </w:rPr>
        <w:t>3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>工程技术要求</w:t>
      </w:r>
      <w:bookmarkEnd w:id="1"/>
      <w:bookmarkEnd w:id="2"/>
      <w:bookmarkEnd w:id="3"/>
      <w:bookmarkEnd w:id="4"/>
      <w:bookmarkEnd w:id="5"/>
      <w:bookmarkEnd w:id="6"/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r w:rsidRPr="00D46AA6">
        <w:rPr>
          <w:b/>
          <w:sz w:val="24"/>
        </w:rPr>
        <w:t>3.</w:t>
      </w:r>
      <w:r w:rsidRPr="00D46AA6">
        <w:rPr>
          <w:rFonts w:hint="eastAsia"/>
          <w:b/>
          <w:sz w:val="24"/>
        </w:rPr>
        <w:t>1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>设备的主要用途及功能</w:t>
      </w:r>
    </w:p>
    <w:p w:rsidR="004C0654" w:rsidRPr="00D46AA6" w:rsidRDefault="004C0654" w:rsidP="004C0654">
      <w:r w:rsidRPr="00D46AA6">
        <w:rPr>
          <w:rFonts w:hint="eastAsia"/>
        </w:rPr>
        <w:t>本放气率测量系统的搭建用于测量</w:t>
      </w:r>
      <w:r w:rsidRPr="00D46AA6">
        <w:rPr>
          <w:rFonts w:hint="eastAsia"/>
        </w:rPr>
        <w:t>I</w:t>
      </w:r>
      <w:r w:rsidRPr="00D46AA6">
        <w:t>TER</w:t>
      </w:r>
      <w:r w:rsidRPr="00D46AA6">
        <w:rPr>
          <w:rFonts w:hint="eastAsia"/>
        </w:rPr>
        <w:t>计划真空内侧所使用材料</w:t>
      </w:r>
      <w:r w:rsidRPr="00D46AA6">
        <w:rPr>
          <w:rFonts w:hint="eastAsia"/>
        </w:rPr>
        <w:t>/</w:t>
      </w:r>
      <w:r w:rsidRPr="00D46AA6">
        <w:rPr>
          <w:rFonts w:hint="eastAsia"/>
        </w:rPr>
        <w:t>组件的氢气放气率以及其他杂质气体与氢气的比例关系，被测组件</w:t>
      </w:r>
      <w:r w:rsidRPr="00D46AA6">
        <w:rPr>
          <w:rFonts w:hint="eastAsia"/>
        </w:rPr>
        <w:t>/</w:t>
      </w:r>
      <w:r w:rsidRPr="00D46AA6">
        <w:rPr>
          <w:rFonts w:hint="eastAsia"/>
        </w:rPr>
        <w:t>材料单位面积放气率（对氢气）水平在</w:t>
      </w:r>
      <w:r w:rsidRPr="00D46AA6">
        <w:t>1x10</w:t>
      </w:r>
      <w:r w:rsidRPr="00D46AA6">
        <w:rPr>
          <w:vertAlign w:val="superscript"/>
        </w:rPr>
        <w:t>-5</w:t>
      </w:r>
      <w:r w:rsidRPr="00D46AA6">
        <w:t>~1x10</w:t>
      </w:r>
      <w:r w:rsidRPr="00D46AA6">
        <w:rPr>
          <w:vertAlign w:val="superscript"/>
        </w:rPr>
        <w:t>-9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t>·m-</w:t>
      </w:r>
      <w:r w:rsidRPr="00D46AA6">
        <w:rPr>
          <w:vertAlign w:val="superscript"/>
        </w:rPr>
        <w:t>2</w:t>
      </w:r>
      <w:r w:rsidRPr="00D46AA6">
        <w:rPr>
          <w:rFonts w:hint="eastAsia"/>
        </w:rPr>
        <w:t>。</w:t>
      </w:r>
    </w:p>
    <w:p w:rsidR="004C0654" w:rsidRPr="00D46AA6" w:rsidRDefault="004C0654" w:rsidP="004C0654">
      <w:r w:rsidRPr="00D46AA6">
        <w:rPr>
          <w:rFonts w:hint="eastAsia"/>
        </w:rPr>
        <w:t>所测对象包含但不限于以下：</w:t>
      </w:r>
    </w:p>
    <w:p w:rsidR="004C0654" w:rsidRPr="00D46AA6" w:rsidRDefault="004C0654" w:rsidP="004C0654">
      <w:pPr>
        <w:numPr>
          <w:ilvl w:val="0"/>
          <w:numId w:val="1"/>
        </w:numPr>
      </w:pPr>
      <w:r w:rsidRPr="00D46AA6">
        <w:rPr>
          <w:rFonts w:hint="eastAsia"/>
        </w:rPr>
        <w:t>P</w:t>
      </w:r>
      <w:r w:rsidRPr="00D46AA6">
        <w:t xml:space="preserve">BS.55.E2 </w:t>
      </w:r>
      <w:r w:rsidRPr="00D46AA6">
        <w:rPr>
          <w:rFonts w:hint="eastAsia"/>
        </w:rPr>
        <w:t>交付组件</w:t>
      </w:r>
      <w:r w:rsidRPr="00D46AA6">
        <w:rPr>
          <w:rFonts w:hint="eastAsia"/>
        </w:rPr>
        <w:t>F</w:t>
      </w:r>
      <w:r w:rsidRPr="00D46AA6">
        <w:t>MU</w:t>
      </w:r>
      <w:r w:rsidRPr="00D46AA6">
        <w:rPr>
          <w:rFonts w:hint="eastAsia"/>
        </w:rPr>
        <w:t>，包含不锈钢、镍基合金、</w:t>
      </w:r>
      <w:r w:rsidRPr="00D46AA6">
        <w:rPr>
          <w:rFonts w:hint="eastAsia"/>
        </w:rPr>
        <w:t>T</w:t>
      </w:r>
      <w:r w:rsidRPr="00D46AA6">
        <w:t>ZM</w:t>
      </w:r>
      <w:r w:rsidRPr="00D46AA6">
        <w:rPr>
          <w:rFonts w:hint="eastAsia"/>
        </w:rPr>
        <w:t>合金、钛等多种材料。外形尺寸为</w:t>
      </w:r>
      <w:r w:rsidRPr="00D46AA6">
        <w:rPr>
          <w:rFonts w:hint="eastAsia"/>
        </w:rPr>
        <w:t>3</w:t>
      </w:r>
      <w:r w:rsidRPr="00D46AA6">
        <w:t>50mm*270mm*342mm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numPr>
          <w:ilvl w:val="0"/>
          <w:numId w:val="1"/>
        </w:numPr>
      </w:pPr>
      <w:r w:rsidRPr="00D46AA6">
        <w:rPr>
          <w:rFonts w:hint="eastAsia"/>
        </w:rPr>
        <w:t>碳化硼屏蔽块，外形尺寸为</w:t>
      </w:r>
      <w:r w:rsidRPr="00D46AA6">
        <w:rPr>
          <w:rFonts w:hint="eastAsia"/>
        </w:rPr>
        <w:t>4</w:t>
      </w:r>
      <w:r w:rsidRPr="00D46AA6">
        <w:t>6mm*46</w:t>
      </w:r>
      <w:r w:rsidRPr="00D46AA6">
        <w:rPr>
          <w:rFonts w:hint="eastAsia"/>
        </w:rPr>
        <w:t>mm</w:t>
      </w:r>
      <w:r w:rsidRPr="00D46AA6">
        <w:t>*28mm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numPr>
          <w:ilvl w:val="0"/>
          <w:numId w:val="1"/>
        </w:numPr>
      </w:pPr>
      <w:r w:rsidRPr="00D46AA6">
        <w:rPr>
          <w:rFonts w:hint="eastAsia"/>
        </w:rPr>
        <w:t>不锈钢屏蔽托盘，外形尺寸为</w:t>
      </w:r>
      <w:r w:rsidRPr="00D46AA6">
        <w:rPr>
          <w:rFonts w:hint="eastAsia"/>
        </w:rPr>
        <w:t>3</w:t>
      </w:r>
      <w:r w:rsidRPr="00D46AA6">
        <w:t>50mm*280mm*64mm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numPr>
          <w:ilvl w:val="0"/>
          <w:numId w:val="1"/>
        </w:numPr>
      </w:pPr>
      <w:r w:rsidRPr="00D46AA6">
        <w:rPr>
          <w:rFonts w:hint="eastAsia"/>
        </w:rPr>
        <w:t>多种热电偶线缆，最大弯曲半径为</w:t>
      </w:r>
      <w:r w:rsidRPr="00D46AA6">
        <w:rPr>
          <w:rFonts w:hint="eastAsia"/>
        </w:rPr>
        <w:t>9</w:t>
      </w:r>
      <w:r w:rsidRPr="00D46AA6">
        <w:t>0mm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rPr>
          <w:rFonts w:hint="eastAsia"/>
        </w:rPr>
      </w:pPr>
      <w:r w:rsidRPr="00D46AA6">
        <w:rPr>
          <w:rFonts w:hint="eastAsia"/>
        </w:rPr>
        <w:t>系统设计应使用双通道转换法（对称结构流导法）或更为先进的放气率测量方法以控制系统精度。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r w:rsidRPr="00D46AA6">
        <w:rPr>
          <w:b/>
          <w:sz w:val="24"/>
        </w:rPr>
        <w:t>3.2</w:t>
      </w:r>
      <w:r w:rsidRPr="00D46AA6">
        <w:rPr>
          <w:rFonts w:hint="eastAsia"/>
          <w:b/>
          <w:sz w:val="24"/>
        </w:rPr>
        <w:t>、</w:t>
      </w:r>
      <w:r w:rsidRPr="00D46AA6">
        <w:rPr>
          <w:rFonts w:hint="eastAsia"/>
          <w:b/>
          <w:sz w:val="24"/>
        </w:rPr>
        <w:t xml:space="preserve"> </w:t>
      </w:r>
      <w:r w:rsidRPr="00D46AA6">
        <w:rPr>
          <w:b/>
          <w:sz w:val="24"/>
        </w:rPr>
        <w:t>工作条件</w:t>
      </w:r>
    </w:p>
    <w:p w:rsidR="004C0654" w:rsidRPr="00D46AA6" w:rsidRDefault="004C0654" w:rsidP="004C0654">
      <w:pPr>
        <w:rPr>
          <w:rFonts w:hint="eastAsia"/>
        </w:rPr>
      </w:pPr>
      <w:r w:rsidRPr="00D46AA6">
        <w:rPr>
          <w:rFonts w:hint="eastAsia"/>
        </w:rPr>
        <w:t>拟放置于合肥等离子体所</w:t>
      </w:r>
      <w:proofErr w:type="gramStart"/>
      <w:r w:rsidRPr="00D46AA6">
        <w:rPr>
          <w:rFonts w:hint="eastAsia"/>
        </w:rPr>
        <w:t>诊断楼</w:t>
      </w:r>
      <w:proofErr w:type="gramEnd"/>
      <w:r w:rsidRPr="00D46AA6">
        <w:rPr>
          <w:rFonts w:hint="eastAsia"/>
        </w:rPr>
        <w:t>一楼无尘实验室，楼板承重</w:t>
      </w:r>
      <w:r w:rsidRPr="00D46AA6">
        <w:rPr>
          <w:rFonts w:hint="eastAsia"/>
        </w:rPr>
        <w:t>5</w:t>
      </w:r>
      <w:r w:rsidRPr="00D46AA6">
        <w:t>KN/m</w:t>
      </w:r>
      <w:r w:rsidRPr="00D46AA6">
        <w:rPr>
          <w:vertAlign w:val="superscript"/>
        </w:rPr>
        <w:t>2</w:t>
      </w:r>
      <w:r w:rsidRPr="00D46AA6">
        <w:rPr>
          <w:rFonts w:hint="eastAsia"/>
        </w:rPr>
        <w:t>，房间尺寸为</w:t>
      </w:r>
      <w:r w:rsidRPr="00D46AA6">
        <w:rPr>
          <w:rFonts w:hint="eastAsia"/>
        </w:rPr>
        <w:t>3</w:t>
      </w:r>
      <w:r w:rsidRPr="00D46AA6">
        <w:t>600mm*6000mm</w:t>
      </w:r>
      <w:r w:rsidRPr="00D46AA6">
        <w:rPr>
          <w:rFonts w:hint="eastAsia"/>
        </w:rPr>
        <w:t>，无尘等级十万级（尘粒≥</w:t>
      </w:r>
      <w:r w:rsidRPr="00D46AA6">
        <w:rPr>
          <w:rFonts w:hint="eastAsia"/>
        </w:rPr>
        <w:t>0</w:t>
      </w:r>
      <w:r w:rsidRPr="00D46AA6">
        <w:t>.5</w:t>
      </w:r>
      <w:r w:rsidRPr="00D46AA6">
        <w:rPr>
          <w:rFonts w:hint="eastAsia"/>
        </w:rPr>
        <w:t>μ</w:t>
      </w:r>
      <w:r w:rsidRPr="00D46AA6">
        <w:t>m</w:t>
      </w:r>
      <w:r w:rsidRPr="00D46AA6">
        <w:rPr>
          <w:rFonts w:hint="eastAsia"/>
        </w:rPr>
        <w:t>最大允许数为</w:t>
      </w:r>
      <w:r w:rsidRPr="00D46AA6">
        <w:rPr>
          <w:rFonts w:hint="eastAsia"/>
        </w:rPr>
        <w:t>3</w:t>
      </w:r>
      <w:r w:rsidRPr="00D46AA6">
        <w:t>50</w:t>
      </w:r>
      <w:r w:rsidRPr="00D46AA6">
        <w:rPr>
          <w:rFonts w:hint="eastAsia"/>
        </w:rPr>
        <w:t>万个</w:t>
      </w:r>
      <w:r w:rsidRPr="00D46AA6">
        <w:rPr>
          <w:rFonts w:hint="eastAsia"/>
        </w:rPr>
        <w:t>/m</w:t>
      </w:r>
      <w:r w:rsidRPr="00D46AA6">
        <w:rPr>
          <w:vertAlign w:val="superscript"/>
        </w:rPr>
        <w:t>3</w:t>
      </w:r>
      <w:r w:rsidRPr="00D46AA6">
        <w:rPr>
          <w:rFonts w:hint="eastAsia"/>
        </w:rPr>
        <w:t>）</w:t>
      </w:r>
      <w:r w:rsidRPr="00D46AA6">
        <w:rPr>
          <w:rFonts w:hint="eastAsia"/>
        </w:rPr>
        <w:t>,</w:t>
      </w:r>
      <w:r w:rsidRPr="00D46AA6">
        <w:rPr>
          <w:rFonts w:hint="eastAsia"/>
        </w:rPr>
        <w:t>预留用电功率为</w:t>
      </w:r>
      <w:r w:rsidRPr="00D46AA6">
        <w:rPr>
          <w:rFonts w:hint="eastAsia"/>
        </w:rPr>
        <w:t>7</w:t>
      </w:r>
      <w:r w:rsidRPr="00D46AA6">
        <w:t>0KW</w:t>
      </w:r>
      <w:r w:rsidRPr="00D46AA6">
        <w:rPr>
          <w:rFonts w:hint="eastAsia"/>
        </w:rPr>
        <w:t>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r w:rsidRPr="00D46AA6">
        <w:rPr>
          <w:b/>
          <w:sz w:val="24"/>
        </w:rPr>
        <w:lastRenderedPageBreak/>
        <w:t>3.3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 xml:space="preserve"> </w:t>
      </w:r>
      <w:r w:rsidRPr="00D46AA6">
        <w:rPr>
          <w:b/>
          <w:sz w:val="24"/>
        </w:rPr>
        <w:t>技术性能指标要求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szCs w:val="21"/>
        </w:rPr>
        <w:t xml:space="preserve">1. </w:t>
      </w:r>
      <w:r w:rsidRPr="00D46AA6">
        <w:rPr>
          <w:rFonts w:hint="eastAsia"/>
          <w:szCs w:val="21"/>
        </w:rPr>
        <w:t>样品（材料</w:t>
      </w:r>
      <w:r w:rsidRPr="00D46AA6">
        <w:rPr>
          <w:rFonts w:hint="eastAsia"/>
          <w:szCs w:val="21"/>
        </w:rPr>
        <w:t>/</w:t>
      </w:r>
      <w:r w:rsidRPr="00D46AA6">
        <w:rPr>
          <w:rFonts w:hint="eastAsia"/>
          <w:szCs w:val="21"/>
        </w:rPr>
        <w:t>组件）的放气率测试范围（对氢气）为</w:t>
      </w:r>
      <w:r w:rsidRPr="00D46AA6">
        <w:t>1x10</w:t>
      </w:r>
      <w:r w:rsidRPr="00D46AA6">
        <w:rPr>
          <w:vertAlign w:val="superscript"/>
        </w:rPr>
        <w:t>-5</w:t>
      </w:r>
      <w:r w:rsidRPr="00D46AA6">
        <w:t>~1x10</w:t>
      </w:r>
      <w:r w:rsidRPr="00D46AA6">
        <w:rPr>
          <w:vertAlign w:val="superscript"/>
        </w:rPr>
        <w:t>-9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t>·m</w:t>
      </w:r>
      <w:r w:rsidRPr="00D46AA6">
        <w:rPr>
          <w:vertAlign w:val="superscript"/>
        </w:rPr>
        <w:t>-2</w:t>
      </w:r>
      <w:r w:rsidRPr="00D46AA6">
        <w:rPr>
          <w:rFonts w:hint="eastAsia"/>
        </w:rPr>
        <w:t>，最大测量不确定度小于</w:t>
      </w:r>
      <w:r w:rsidRPr="00D46AA6">
        <w:rPr>
          <w:rFonts w:hint="eastAsia"/>
        </w:rPr>
        <w:t>1</w:t>
      </w:r>
      <w:r w:rsidRPr="00D46AA6">
        <w:t>6%</w:t>
      </w:r>
      <w:r w:rsidRPr="00D46AA6">
        <w:rPr>
          <w:rFonts w:hint="eastAsia"/>
        </w:rPr>
        <w:t>，详细设计方案中需给出测试范围计算过程及测量不确定度评定过程；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t xml:space="preserve">2. </w:t>
      </w:r>
      <w:r w:rsidRPr="00D46AA6">
        <w:rPr>
          <w:rFonts w:hint="eastAsia"/>
        </w:rPr>
        <w:t>样品室的极限真空≤</w:t>
      </w:r>
      <w:r w:rsidRPr="00D46AA6">
        <w:t>5x10</w:t>
      </w:r>
      <w:r w:rsidRPr="00D46AA6">
        <w:rPr>
          <w:vertAlign w:val="superscript"/>
        </w:rPr>
        <w:t xml:space="preserve">-7 </w:t>
      </w:r>
      <w:r w:rsidRPr="00D46AA6">
        <w:t>Pa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t xml:space="preserve">3. </w:t>
      </w:r>
      <w:r w:rsidRPr="00D46AA6">
        <w:rPr>
          <w:rFonts w:hint="eastAsia"/>
        </w:rPr>
        <w:t>超高真空腔室的极限真空≤</w:t>
      </w:r>
      <w:r w:rsidRPr="00D46AA6">
        <w:t>5x10</w:t>
      </w:r>
      <w:r w:rsidRPr="00D46AA6">
        <w:rPr>
          <w:vertAlign w:val="superscript"/>
        </w:rPr>
        <w:t xml:space="preserve">-8 </w:t>
      </w:r>
      <w:r w:rsidRPr="00D46AA6">
        <w:t>Pa</w:t>
      </w:r>
      <w:r w:rsidRPr="00D46AA6">
        <w:rPr>
          <w:rFonts w:hint="eastAsia"/>
        </w:rPr>
        <w:t>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t xml:space="preserve">4. </w:t>
      </w:r>
      <w:r w:rsidRPr="00D46AA6">
        <w:rPr>
          <w:rFonts w:hint="eastAsia"/>
        </w:rPr>
        <w:t>样品室内部</w:t>
      </w:r>
      <w:proofErr w:type="gramStart"/>
      <w:r w:rsidRPr="00D46AA6">
        <w:rPr>
          <w:rFonts w:hint="eastAsia"/>
        </w:rPr>
        <w:t>尺寸需能放下</w:t>
      </w:r>
      <w:proofErr w:type="gramEnd"/>
      <w:r w:rsidRPr="00D46AA6">
        <w:rPr>
          <w:rFonts w:hint="eastAsia"/>
        </w:rPr>
        <w:t>所测对象，建议为</w:t>
      </w:r>
      <w:r w:rsidRPr="00D46AA6">
        <w:rPr>
          <w:lang w:val="el-GR"/>
        </w:rPr>
        <w:t>φ500</w:t>
      </w:r>
      <w:r w:rsidRPr="00D46AA6">
        <w:t>mm×600mm</w:t>
      </w:r>
      <w:r w:rsidRPr="00D46AA6">
        <w:rPr>
          <w:rFonts w:hint="eastAsia"/>
        </w:rPr>
        <w:t>，其中恒温区长度需不小于</w:t>
      </w:r>
      <w:r w:rsidRPr="00D46AA6">
        <w:t>500mm</w:t>
      </w:r>
      <w:r w:rsidRPr="00D46AA6">
        <w:rPr>
          <w:rFonts w:hint="eastAsia"/>
        </w:rPr>
        <w:t>，详细设计方案中需给出设计计算依据；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t xml:space="preserve">5. </w:t>
      </w:r>
      <w:r w:rsidRPr="00D46AA6">
        <w:rPr>
          <w:rFonts w:hint="eastAsia"/>
        </w:rPr>
        <w:t>样品的加热温度为室温</w:t>
      </w:r>
      <w:r w:rsidRPr="00D46AA6">
        <w:rPr>
          <w:rFonts w:hint="eastAsia"/>
        </w:rPr>
        <w:t>~</w:t>
      </w:r>
      <w:r w:rsidRPr="00D46AA6">
        <w:t>300</w:t>
      </w:r>
      <w:r w:rsidRPr="00D46AA6">
        <w:rPr>
          <w:rFonts w:hint="eastAsia"/>
        </w:rPr>
        <w:t>℃，样品真空室外壁升温速率</w:t>
      </w:r>
      <w:r w:rsidRPr="00D46AA6">
        <w:rPr>
          <w:rFonts w:hint="eastAsia"/>
        </w:rPr>
        <w:t>5</w:t>
      </w:r>
      <w:r w:rsidRPr="00D46AA6">
        <w:rPr>
          <w:rFonts w:hint="eastAsia"/>
        </w:rPr>
        <w:t>℃</w:t>
      </w:r>
      <w:r w:rsidRPr="00D46AA6">
        <w:rPr>
          <w:rFonts w:hint="eastAsia"/>
        </w:rPr>
        <w:t>/h</w:t>
      </w:r>
      <w:r w:rsidRPr="00D46AA6">
        <w:t>~30</w:t>
      </w:r>
      <w:r w:rsidRPr="00D46AA6">
        <w:rPr>
          <w:rFonts w:hint="eastAsia"/>
        </w:rPr>
        <w:t>℃</w:t>
      </w:r>
      <w:r w:rsidRPr="00D46AA6">
        <w:rPr>
          <w:rFonts w:hint="eastAsia"/>
        </w:rPr>
        <w:t>/h</w:t>
      </w:r>
      <w:r w:rsidRPr="00D46AA6">
        <w:rPr>
          <w:rFonts w:hint="eastAsia"/>
        </w:rPr>
        <w:t>可调，温控精度±</w:t>
      </w:r>
      <w:r w:rsidRPr="00D46AA6">
        <w:rPr>
          <w:rFonts w:hint="eastAsia"/>
        </w:rPr>
        <w:t xml:space="preserve"> 2</w:t>
      </w:r>
      <w:r w:rsidRPr="00D46AA6">
        <w:rPr>
          <w:rFonts w:hint="eastAsia"/>
        </w:rPr>
        <w:t>℃；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6</w:t>
      </w:r>
      <w:r w:rsidRPr="00D46AA6">
        <w:rPr>
          <w:rFonts w:hint="eastAsia"/>
        </w:rPr>
        <w:t>．样品室需设置为双层，内层为真空室用于放置样品，外层用于烘烤绝热加水冷，最外层的面板烘烤运行时的温度不能超过</w:t>
      </w:r>
      <w:r w:rsidRPr="00D46AA6">
        <w:t>55</w:t>
      </w:r>
      <w:r w:rsidRPr="00D46AA6">
        <w:rPr>
          <w:rFonts w:hint="eastAsia"/>
        </w:rPr>
        <w:t>℃，确保人员安全。两套独立的加热单元可对样品</w:t>
      </w:r>
      <w:proofErr w:type="gramStart"/>
      <w:r w:rsidRPr="00D46AA6">
        <w:rPr>
          <w:rFonts w:hint="eastAsia"/>
        </w:rPr>
        <w:t>室整体</w:t>
      </w:r>
      <w:proofErr w:type="gramEnd"/>
      <w:r w:rsidRPr="00D46AA6">
        <w:rPr>
          <w:rFonts w:hint="eastAsia"/>
        </w:rPr>
        <w:t>和样品台单独加热，带有温度协同控制功能；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7</w:t>
      </w:r>
      <w:r w:rsidRPr="00D46AA6">
        <w:rPr>
          <w:rFonts w:hint="eastAsia"/>
        </w:rPr>
        <w:t>．测温方式：设置至少</w:t>
      </w:r>
      <w:r w:rsidRPr="00D46AA6">
        <w:rPr>
          <w:rFonts w:hint="eastAsia"/>
        </w:rPr>
        <w:t>4</w:t>
      </w:r>
      <w:r w:rsidRPr="00D46AA6">
        <w:rPr>
          <w:rFonts w:hint="eastAsia"/>
        </w:rPr>
        <w:t>路穿仓接口放置</w:t>
      </w:r>
      <w:proofErr w:type="gramStart"/>
      <w:r w:rsidRPr="00D46AA6">
        <w:rPr>
          <w:rFonts w:hint="eastAsia"/>
        </w:rPr>
        <w:t>铠装铂</w:t>
      </w:r>
      <w:proofErr w:type="gramEnd"/>
      <w:r w:rsidRPr="00D46AA6">
        <w:rPr>
          <w:rFonts w:hint="eastAsia"/>
        </w:rPr>
        <w:t>电阻测温。考虑后期可能会升级红外测温，需要预留玻璃观察窗法兰接口；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8</w:t>
      </w:r>
      <w:r w:rsidRPr="00D46AA6">
        <w:rPr>
          <w:rFonts w:hint="eastAsia"/>
        </w:rPr>
        <w:t>．工作气为高纯氮气（</w:t>
      </w:r>
      <w:r w:rsidRPr="00D46AA6">
        <w:rPr>
          <w:rFonts w:hint="eastAsia"/>
        </w:rPr>
        <w:t>9</w:t>
      </w:r>
      <w:r w:rsidRPr="00D46AA6">
        <w:t>9.9%</w:t>
      </w:r>
      <w:r w:rsidRPr="00D46AA6">
        <w:rPr>
          <w:rFonts w:hint="eastAsia"/>
        </w:rPr>
        <w:t>），工作水为自循环冷却水，需考虑</w:t>
      </w:r>
      <w:proofErr w:type="gramStart"/>
      <w:r w:rsidRPr="00D46AA6">
        <w:rPr>
          <w:rFonts w:hint="eastAsia"/>
        </w:rPr>
        <w:t>水冷机</w:t>
      </w:r>
      <w:proofErr w:type="gramEnd"/>
      <w:r w:rsidRPr="00D46AA6">
        <w:rPr>
          <w:rFonts w:hint="eastAsia"/>
        </w:rPr>
        <w:t>减震降噪设计（不</w:t>
      </w:r>
      <w:r w:rsidRPr="00D46AA6">
        <w:t>超过</w:t>
      </w:r>
      <w:r w:rsidRPr="00D46AA6">
        <w:t>6</w:t>
      </w:r>
      <w:r w:rsidRPr="00D46AA6">
        <w:rPr>
          <w:rFonts w:hint="eastAsia"/>
        </w:rPr>
        <w:t>0</w:t>
      </w:r>
      <w:r w:rsidRPr="00D46AA6">
        <w:rPr>
          <w:rFonts w:hint="eastAsia"/>
        </w:rPr>
        <w:t>分贝）；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9</w:t>
      </w:r>
      <w:r w:rsidRPr="00D46AA6">
        <w:rPr>
          <w:rFonts w:hint="eastAsia"/>
        </w:rPr>
        <w:t>．残余气体分析质量数范围</w:t>
      </w:r>
      <w:r w:rsidRPr="00D46AA6">
        <w:rPr>
          <w:rFonts w:hint="eastAsia"/>
        </w:rPr>
        <w:t>1</w:t>
      </w:r>
      <w:r w:rsidRPr="00D46AA6">
        <w:t>~200amu</w:t>
      </w:r>
      <w:r w:rsidRPr="00D46AA6">
        <w:rPr>
          <w:rFonts w:hint="eastAsia"/>
        </w:rPr>
        <w:t>，需经过分压力校准（至少包括氮气、氢气、氦气）</w:t>
      </w:r>
      <w:r w:rsidRPr="00D46AA6">
        <w:t>;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0</w:t>
      </w:r>
      <w:r w:rsidRPr="00D46AA6">
        <w:rPr>
          <w:rFonts w:hint="eastAsia"/>
        </w:rPr>
        <w:t>．系统</w:t>
      </w:r>
      <w:proofErr w:type="gramStart"/>
      <w:r w:rsidRPr="00D46AA6">
        <w:rPr>
          <w:rFonts w:hint="eastAsia"/>
        </w:rPr>
        <w:t>泵</w:t>
      </w:r>
      <w:r w:rsidRPr="00D46AA6">
        <w:t>组</w:t>
      </w:r>
      <w:r w:rsidRPr="00D46AA6">
        <w:rPr>
          <w:rFonts w:hint="eastAsia"/>
        </w:rPr>
        <w:t>需无油</w:t>
      </w:r>
      <w:proofErr w:type="gramEnd"/>
      <w:r w:rsidRPr="00D46AA6">
        <w:rPr>
          <w:rFonts w:hint="eastAsia"/>
        </w:rPr>
        <w:t>，且考虑到本系统指标的极限程度，仪器和</w:t>
      </w:r>
      <w:proofErr w:type="gramStart"/>
      <w:r w:rsidRPr="00D46AA6">
        <w:rPr>
          <w:rFonts w:hint="eastAsia"/>
        </w:rPr>
        <w:t>泵组选型需</w:t>
      </w:r>
      <w:proofErr w:type="gramEnd"/>
      <w:r w:rsidRPr="00D46AA6">
        <w:rPr>
          <w:rFonts w:hint="eastAsia"/>
        </w:rPr>
        <w:t>考虑性能更优的产品，如磁悬浮分子泵优选</w:t>
      </w:r>
      <w:proofErr w:type="gramStart"/>
      <w:r w:rsidRPr="00D46AA6">
        <w:rPr>
          <w:rFonts w:hint="eastAsia"/>
        </w:rPr>
        <w:t>莱</w:t>
      </w:r>
      <w:proofErr w:type="gramEnd"/>
      <w:r w:rsidRPr="00D46AA6">
        <w:rPr>
          <w:rFonts w:hint="eastAsia"/>
        </w:rPr>
        <w:t>宝，离子泵优选安捷伦，阀门优选</w:t>
      </w:r>
      <w:r w:rsidRPr="00D46AA6">
        <w:rPr>
          <w:rFonts w:hint="eastAsia"/>
        </w:rPr>
        <w:t>V</w:t>
      </w:r>
      <w:r w:rsidRPr="00D46AA6">
        <w:t>AT</w:t>
      </w:r>
      <w:r w:rsidRPr="00D46AA6">
        <w:rPr>
          <w:rFonts w:hint="eastAsia"/>
        </w:rPr>
        <w:t>等；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1</w:t>
      </w:r>
      <w:r w:rsidRPr="00D46AA6">
        <w:rPr>
          <w:rFonts w:hint="eastAsia"/>
        </w:rPr>
        <w:t>．密封方式采用超高真空全金属密封，单道密封漏率不大于</w:t>
      </w:r>
      <w:r w:rsidRPr="00D46AA6">
        <w:t>1x10</w:t>
      </w:r>
      <w:r w:rsidRPr="00D46AA6">
        <w:rPr>
          <w:vertAlign w:val="superscript"/>
        </w:rPr>
        <w:t>-11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rPr>
          <w:rFonts w:hint="eastAsia"/>
        </w:rPr>
        <w:t>（提供检测报告），需适当配备耗材（例如密封圈）；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2</w:t>
      </w:r>
      <w:r w:rsidRPr="00D46AA6">
        <w:rPr>
          <w:rFonts w:hint="eastAsia"/>
        </w:rPr>
        <w:t>．主体材料为</w:t>
      </w:r>
      <w:r w:rsidRPr="00D46AA6">
        <w:rPr>
          <w:rFonts w:hint="eastAsia"/>
        </w:rPr>
        <w:t>3</w:t>
      </w:r>
      <w:r w:rsidRPr="00D46AA6">
        <w:t>16L</w:t>
      </w:r>
      <w:r w:rsidRPr="00D46AA6">
        <w:rPr>
          <w:rFonts w:hint="eastAsia"/>
        </w:rPr>
        <w:t>不锈钢或更高级别不锈钢，需采取超高真空工艺处理（</w:t>
      </w:r>
      <w:proofErr w:type="gramStart"/>
      <w:r w:rsidRPr="00D46AA6">
        <w:rPr>
          <w:rFonts w:hint="eastAsia"/>
        </w:rPr>
        <w:t>含除氢</w:t>
      </w:r>
      <w:proofErr w:type="gramEnd"/>
      <w:r w:rsidRPr="00D46AA6">
        <w:rPr>
          <w:rFonts w:hint="eastAsia"/>
        </w:rPr>
        <w:t>），本底材料的单位面积放气率（对氢气）需小于</w:t>
      </w:r>
      <w:r w:rsidRPr="00D46AA6">
        <w:t>5x10</w:t>
      </w:r>
      <w:r w:rsidRPr="00D46AA6">
        <w:rPr>
          <w:vertAlign w:val="superscript"/>
        </w:rPr>
        <w:t>-9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t>·m</w:t>
      </w:r>
      <w:r w:rsidRPr="00D46AA6">
        <w:rPr>
          <w:vertAlign w:val="subscript"/>
        </w:rPr>
        <w:t>-</w:t>
      </w:r>
      <w:r w:rsidRPr="00D46AA6">
        <w:rPr>
          <w:vertAlign w:val="superscript"/>
        </w:rPr>
        <w:t>2</w:t>
      </w:r>
      <w:r w:rsidRPr="00D46AA6">
        <w:rPr>
          <w:rFonts w:hint="eastAsia"/>
        </w:rPr>
        <w:t>，真空</w:t>
      </w:r>
      <w:proofErr w:type="gramStart"/>
      <w:r w:rsidRPr="00D46AA6">
        <w:rPr>
          <w:rFonts w:hint="eastAsia"/>
        </w:rPr>
        <w:t>腔</w:t>
      </w:r>
      <w:proofErr w:type="gramEnd"/>
      <w:r w:rsidRPr="00D46AA6">
        <w:rPr>
          <w:rFonts w:hint="eastAsia"/>
        </w:rPr>
        <w:t>体内使用的连接机构不得有封闭空间，若不可避免封闭空间则需设置放气孔；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3</w:t>
      </w:r>
      <w:r w:rsidRPr="00D46AA6">
        <w:rPr>
          <w:rFonts w:hint="eastAsia"/>
        </w:rPr>
        <w:t>．系统总漏率需小于</w:t>
      </w:r>
      <w:r w:rsidRPr="00D46AA6">
        <w:t>1x10</w:t>
      </w:r>
      <w:r w:rsidRPr="00D46AA6">
        <w:rPr>
          <w:vertAlign w:val="superscript"/>
        </w:rPr>
        <w:t>-10</w:t>
      </w:r>
      <w:r w:rsidRPr="00D46AA6">
        <w:t>Pa·m</w:t>
      </w:r>
      <w:r w:rsidRPr="00D46AA6">
        <w:rPr>
          <w:vertAlign w:val="superscript"/>
        </w:rPr>
        <w:t>3</w:t>
      </w:r>
      <w:r w:rsidRPr="00D46AA6">
        <w:t>·s</w:t>
      </w:r>
      <w:r w:rsidRPr="00D46AA6">
        <w:rPr>
          <w:vertAlign w:val="superscript"/>
        </w:rPr>
        <w:t>-1</w:t>
      </w:r>
      <w:r w:rsidRPr="00D46AA6">
        <w:rPr>
          <w:rFonts w:hint="eastAsia"/>
        </w:rPr>
        <w:t>，应尽量使用对接焊缝，每道焊缝具备无损检测（超声</w:t>
      </w:r>
      <w:r w:rsidRPr="00D46AA6">
        <w:rPr>
          <w:rFonts w:hint="eastAsia"/>
        </w:rPr>
        <w:t>/</w:t>
      </w:r>
      <w:r w:rsidRPr="00D46AA6">
        <w:rPr>
          <w:rFonts w:hint="eastAsia"/>
        </w:rPr>
        <w:t>射线）的条件应做无损检测并出具报告。最终需给出总漏率检测报告；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</w:rPr>
      </w:pPr>
      <w:r w:rsidRPr="00D46AA6">
        <w:rPr>
          <w:rFonts w:hint="eastAsia"/>
        </w:rPr>
        <w:t>1</w:t>
      </w:r>
      <w:r w:rsidRPr="00D46AA6">
        <w:t xml:space="preserve">4. </w:t>
      </w:r>
      <w:r w:rsidRPr="00D46AA6">
        <w:rPr>
          <w:rFonts w:hint="eastAsia"/>
        </w:rPr>
        <w:t>所有仪器应出具出厂校准证书以及后期检定校准方案和周期；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5</w:t>
      </w:r>
      <w:r w:rsidRPr="00D46AA6">
        <w:rPr>
          <w:rFonts w:hint="eastAsia"/>
        </w:rPr>
        <w:t>．硬件加工（主要是真空腔室加工及工艺处理）需提供正式的质量计划（</w:t>
      </w:r>
      <w:r w:rsidRPr="00D46AA6">
        <w:rPr>
          <w:rFonts w:hint="eastAsia"/>
        </w:rPr>
        <w:t>Q</w:t>
      </w:r>
      <w:r w:rsidRPr="00D46AA6">
        <w:t>P</w:t>
      </w:r>
      <w:r w:rsidRPr="00D46AA6">
        <w:rPr>
          <w:rFonts w:hint="eastAsia"/>
        </w:rPr>
        <w:t>）、加工检测</w:t>
      </w:r>
      <w:r w:rsidRPr="00D46AA6">
        <w:rPr>
          <w:rFonts w:hint="eastAsia"/>
        </w:rPr>
        <w:lastRenderedPageBreak/>
        <w:t>计划（</w:t>
      </w:r>
      <w:r w:rsidRPr="00D46AA6">
        <w:t>MIP</w:t>
      </w:r>
      <w:r w:rsidRPr="00D46AA6">
        <w:rPr>
          <w:rFonts w:hint="eastAsia"/>
        </w:rPr>
        <w:t>）和各类检测报告。见证点严格按照</w:t>
      </w:r>
      <w:r w:rsidRPr="00D46AA6">
        <w:rPr>
          <w:rFonts w:hint="eastAsia"/>
        </w:rPr>
        <w:t>M</w:t>
      </w:r>
      <w:r w:rsidRPr="00D46AA6">
        <w:t>IP</w:t>
      </w:r>
      <w:r w:rsidRPr="00D46AA6">
        <w:rPr>
          <w:rFonts w:hint="eastAsia"/>
        </w:rPr>
        <w:t>执行；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6</w:t>
      </w:r>
      <w:r w:rsidRPr="00D46AA6">
        <w:rPr>
          <w:rFonts w:hint="eastAsia"/>
        </w:rPr>
        <w:t>．需考虑仪器的数据同步采集，控制柜单独设立于侧面，采集软件系统为中英双语可</w:t>
      </w:r>
      <w:r w:rsidRPr="00D46AA6">
        <w:t>切换</w:t>
      </w:r>
      <w:r w:rsidRPr="00D46AA6">
        <w:rPr>
          <w:rFonts w:hint="eastAsia"/>
        </w:rPr>
        <w:t>，尽</w:t>
      </w:r>
      <w:r w:rsidRPr="00D46AA6">
        <w:t>可能软件集成</w:t>
      </w:r>
      <w:r w:rsidRPr="00D46AA6">
        <w:rPr>
          <w:rFonts w:hint="eastAsia"/>
        </w:rPr>
        <w:t>为</w:t>
      </w:r>
      <w:r w:rsidRPr="00D46AA6">
        <w:t>组态</w:t>
      </w:r>
      <w:r w:rsidRPr="00D46AA6">
        <w:rPr>
          <w:rFonts w:hint="eastAsia"/>
        </w:rPr>
        <w:t>界面。配有计算机处理数据（配置建议：</w:t>
      </w:r>
      <w:r w:rsidRPr="00D46AA6">
        <w:t>I7-10750H</w:t>
      </w:r>
      <w:r w:rsidRPr="00D46AA6">
        <w:rPr>
          <w:rFonts w:hint="eastAsia"/>
        </w:rPr>
        <w:t>/</w:t>
      </w:r>
      <w:r w:rsidRPr="00D46AA6">
        <w:t>16G/SSD-256G+1T/0SSD/T600 4G</w:t>
      </w:r>
      <w:r w:rsidRPr="00D46AA6">
        <w:rPr>
          <w:rFonts w:hint="eastAsia"/>
        </w:rPr>
        <w:t>），另需保证非正常断电后的数据恢复；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</w:pPr>
      <w:r w:rsidRPr="00D46AA6">
        <w:rPr>
          <w:rFonts w:hint="eastAsia"/>
        </w:rPr>
        <w:t>1</w:t>
      </w:r>
      <w:r w:rsidRPr="00D46AA6">
        <w:t>7</w:t>
      </w:r>
      <w:r w:rsidRPr="00D46AA6">
        <w:rPr>
          <w:rFonts w:hint="eastAsia"/>
        </w:rPr>
        <w:t>．设计参考标准：</w:t>
      </w:r>
      <w:r w:rsidRPr="00D46AA6">
        <w:t>ISO 20177:2018 Vacuum technology-vacuum gauges-procedures to measure and report outgassing rates</w:t>
      </w:r>
      <w:r w:rsidRPr="00D46AA6">
        <w:rPr>
          <w:rFonts w:hint="eastAsia"/>
        </w:rPr>
        <w:t>（或注明执行相关国内标准）；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</w:rPr>
      </w:pPr>
      <w:r w:rsidRPr="00D46AA6">
        <w:rPr>
          <w:rFonts w:hint="eastAsia"/>
        </w:rPr>
        <w:t>1</w:t>
      </w:r>
      <w:r w:rsidRPr="00D46AA6">
        <w:t xml:space="preserve">8. </w:t>
      </w:r>
      <w:r w:rsidRPr="00D46AA6">
        <w:rPr>
          <w:rFonts w:hint="eastAsia"/>
        </w:rPr>
        <w:t>若由有</w:t>
      </w:r>
      <w:r w:rsidRPr="00D46AA6">
        <w:rPr>
          <w:rFonts w:hint="eastAsia"/>
        </w:rPr>
        <w:t>C</w:t>
      </w:r>
      <w:r w:rsidRPr="00D46AA6">
        <w:t>NAS</w:t>
      </w:r>
      <w:r w:rsidRPr="00D46AA6">
        <w:rPr>
          <w:rFonts w:hint="eastAsia"/>
        </w:rPr>
        <w:t>资质的公司（含联合体）中标之后，后期需配合本项目</w:t>
      </w:r>
      <w:proofErr w:type="gramStart"/>
      <w:r w:rsidRPr="00D46AA6">
        <w:rPr>
          <w:rFonts w:hint="eastAsia"/>
        </w:rPr>
        <w:t>进行军口或</w:t>
      </w:r>
      <w:proofErr w:type="gramEnd"/>
      <w:r w:rsidRPr="00D46AA6">
        <w:rPr>
          <w:rFonts w:hint="eastAsia"/>
        </w:rPr>
        <w:t>民口的</w:t>
      </w:r>
      <w:r w:rsidRPr="00D46AA6">
        <w:rPr>
          <w:rFonts w:hint="eastAsia"/>
        </w:rPr>
        <w:t>CNAS</w:t>
      </w:r>
      <w:r w:rsidRPr="00D46AA6">
        <w:rPr>
          <w:rFonts w:hint="eastAsia"/>
        </w:rPr>
        <w:t>资质申请材料准备等工作；若无</w:t>
      </w:r>
      <w:r w:rsidRPr="00D46AA6">
        <w:rPr>
          <w:rFonts w:hint="eastAsia"/>
        </w:rPr>
        <w:t>C</w:t>
      </w:r>
      <w:r w:rsidRPr="00D46AA6">
        <w:t>NAS</w:t>
      </w:r>
      <w:r w:rsidRPr="00D46AA6">
        <w:rPr>
          <w:rFonts w:hint="eastAsia"/>
        </w:rPr>
        <w:t>资质的公司（含联合体）中标，则后期需接受本项目组和具有</w:t>
      </w:r>
      <w:r w:rsidRPr="00D46AA6">
        <w:rPr>
          <w:rFonts w:hint="eastAsia"/>
        </w:rPr>
        <w:t>C</w:t>
      </w:r>
      <w:r w:rsidRPr="00D46AA6">
        <w:t>NAS</w:t>
      </w:r>
      <w:r w:rsidRPr="00D46AA6">
        <w:rPr>
          <w:rFonts w:hint="eastAsia"/>
        </w:rPr>
        <w:t>资质的第三方全程参与和监督。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b/>
          <w:sz w:val="24"/>
        </w:rPr>
      </w:pPr>
      <w:r w:rsidRPr="00D46AA6">
        <w:rPr>
          <w:b/>
          <w:sz w:val="24"/>
        </w:rPr>
        <w:t>3.4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 xml:space="preserve"> </w:t>
      </w:r>
      <w:r w:rsidRPr="00D46AA6">
        <w:rPr>
          <w:b/>
          <w:sz w:val="24"/>
        </w:rPr>
        <w:t>技术服务要求及质保要求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szCs w:val="21"/>
        </w:rPr>
      </w:pPr>
      <w:r w:rsidRPr="00D46AA6">
        <w:rPr>
          <w:rFonts w:hint="eastAsia"/>
          <w:szCs w:val="21"/>
        </w:rPr>
        <w:t>针对各类外购件，需罗列产品清单，配以合格证，保修卡，注明质保年限，售后联络人等信息。</w:t>
      </w:r>
    </w:p>
    <w:p w:rsidR="004C0654" w:rsidRDefault="004C0654" w:rsidP="004C0654">
      <w:pPr>
        <w:adjustRightInd w:val="0"/>
        <w:snapToGrid w:val="0"/>
        <w:spacing w:beforeLines="50" w:before="156" w:line="360" w:lineRule="auto"/>
        <w:rPr>
          <w:szCs w:val="21"/>
        </w:rPr>
      </w:pPr>
      <w:r w:rsidRPr="00D46AA6">
        <w:rPr>
          <w:rFonts w:hint="eastAsia"/>
          <w:szCs w:val="21"/>
        </w:rPr>
        <w:t>设备运送到甲方指定地点之后，需对</w:t>
      </w:r>
      <w:r w:rsidRPr="00D46AA6">
        <w:rPr>
          <w:rFonts w:hint="eastAsia"/>
          <w:szCs w:val="21"/>
        </w:rPr>
        <w:t>P</w:t>
      </w:r>
      <w:r w:rsidRPr="00D46AA6">
        <w:rPr>
          <w:szCs w:val="21"/>
        </w:rPr>
        <w:t>I</w:t>
      </w:r>
      <w:r w:rsidRPr="00D46AA6">
        <w:rPr>
          <w:rFonts w:hint="eastAsia"/>
          <w:szCs w:val="21"/>
        </w:rPr>
        <w:t>采购</w:t>
      </w:r>
      <w:proofErr w:type="gramStart"/>
      <w:r w:rsidRPr="00D46AA6">
        <w:rPr>
          <w:rFonts w:hint="eastAsia"/>
          <w:szCs w:val="21"/>
        </w:rPr>
        <w:t>包内部</w:t>
      </w:r>
      <w:proofErr w:type="gramEnd"/>
      <w:r w:rsidRPr="00D46AA6">
        <w:rPr>
          <w:rFonts w:hint="eastAsia"/>
          <w:szCs w:val="21"/>
        </w:rPr>
        <w:t>人员进行培训，以某种样品（如碳化硼材料）为例进行联调验收，模拟整个放气率测试流程。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质保要求：</w:t>
      </w:r>
      <w:r w:rsidRPr="00D46AA6">
        <w:rPr>
          <w:rFonts w:ascii="宋体" w:hAnsi="宋体" w:cs="Calibri" w:hint="eastAsia"/>
          <w:szCs w:val="21"/>
        </w:rPr>
        <w:t>自验收合格之日起</w:t>
      </w:r>
      <w:r w:rsidRPr="00D46AA6">
        <w:rPr>
          <w:rFonts w:ascii="宋体" w:hAnsi="宋体" w:cs="Calibri" w:hint="eastAsia"/>
          <w:szCs w:val="21"/>
          <w:u w:val="single"/>
        </w:rPr>
        <w:t xml:space="preserve"> </w:t>
      </w:r>
      <w:r w:rsidRPr="00D46AA6">
        <w:rPr>
          <w:rFonts w:ascii="宋体" w:hAnsi="宋体" w:cs="Calibri"/>
          <w:szCs w:val="21"/>
          <w:u w:val="single"/>
        </w:rPr>
        <w:t>12</w:t>
      </w:r>
      <w:r w:rsidRPr="00D46AA6">
        <w:rPr>
          <w:rFonts w:ascii="宋体" w:hAnsi="宋体" w:cs="Calibri" w:hint="eastAsia"/>
          <w:szCs w:val="21"/>
        </w:rPr>
        <w:t>个月</w:t>
      </w:r>
    </w:p>
    <w:p w:rsidR="004C0654" w:rsidRPr="00D46AA6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  <w:b/>
          <w:sz w:val="24"/>
        </w:rPr>
      </w:pPr>
      <w:r w:rsidRPr="00D46AA6">
        <w:rPr>
          <w:b/>
          <w:sz w:val="24"/>
        </w:rPr>
        <w:t>3.5</w:t>
      </w:r>
      <w:r w:rsidRPr="00D46AA6">
        <w:rPr>
          <w:rFonts w:hint="eastAsia"/>
          <w:b/>
          <w:sz w:val="24"/>
        </w:rPr>
        <w:t>、</w:t>
      </w:r>
      <w:r w:rsidRPr="00D46AA6">
        <w:rPr>
          <w:b/>
          <w:sz w:val="24"/>
        </w:rPr>
        <w:t>验收标准及验收程序</w:t>
      </w:r>
      <w:r w:rsidRPr="00D46AA6">
        <w:rPr>
          <w:b/>
          <w:sz w:val="24"/>
        </w:rPr>
        <w:tab/>
      </w:r>
      <w:bookmarkEnd w:id="0"/>
    </w:p>
    <w:p w:rsidR="004C0654" w:rsidRPr="00D46AA6" w:rsidRDefault="004C0654" w:rsidP="004C0654">
      <w:r w:rsidRPr="00D46AA6">
        <w:rPr>
          <w:rFonts w:hint="eastAsia"/>
        </w:rPr>
        <w:t>验收节点分为以下两部分：</w:t>
      </w:r>
    </w:p>
    <w:p w:rsidR="004C0654" w:rsidRPr="00D46AA6" w:rsidRDefault="004C0654" w:rsidP="004C0654">
      <w:pPr>
        <w:numPr>
          <w:ilvl w:val="0"/>
          <w:numId w:val="2"/>
        </w:numPr>
      </w:pPr>
      <w:r w:rsidRPr="00D46AA6">
        <w:rPr>
          <w:rFonts w:hint="eastAsia"/>
        </w:rPr>
        <w:t>设计方案验收，乙方需按时提交：</w:t>
      </w:r>
    </w:p>
    <w:p w:rsidR="004C0654" w:rsidRPr="00D46AA6" w:rsidRDefault="004C0654" w:rsidP="004C0654">
      <w:r w:rsidRPr="00D46AA6">
        <w:rPr>
          <w:rFonts w:hint="eastAsia"/>
        </w:rPr>
        <w:t>1</w:t>
      </w:r>
      <w:r w:rsidRPr="00D46AA6">
        <w:rPr>
          <w:rFonts w:hint="eastAsia"/>
        </w:rPr>
        <w:t>）详细技术方案。包含基础理论计算、设备选型明细、仿真分析验算（针对待测样品的烘烤温度分布、整体应力分析、真空流态分布等）、工程验算（结构可靠性分析、焊后去应力方案等）、电控系统设计方案（真空泵、真空阀门、真空计与温控阀门的加热联调）；</w:t>
      </w:r>
    </w:p>
    <w:p w:rsidR="004C0654" w:rsidRPr="00D46AA6" w:rsidRDefault="004C0654" w:rsidP="004C0654">
      <w:r w:rsidRPr="00D46AA6">
        <w:rPr>
          <w:rFonts w:hint="eastAsia"/>
        </w:rPr>
        <w:t>2</w:t>
      </w:r>
      <w:r w:rsidRPr="00D46AA6">
        <w:rPr>
          <w:rFonts w:hint="eastAsia"/>
        </w:rPr>
        <w:t>）完整三维模型；</w:t>
      </w:r>
    </w:p>
    <w:p w:rsidR="004C0654" w:rsidRPr="00D46AA6" w:rsidRDefault="004C0654" w:rsidP="004C0654">
      <w:r w:rsidRPr="00D46AA6">
        <w:rPr>
          <w:rFonts w:hint="eastAsia"/>
        </w:rPr>
        <w:t>3</w:t>
      </w:r>
      <w:r w:rsidRPr="00D46AA6">
        <w:rPr>
          <w:rFonts w:hint="eastAsia"/>
        </w:rPr>
        <w:t>）整套加工图纸。</w:t>
      </w:r>
    </w:p>
    <w:p w:rsidR="004C0654" w:rsidRPr="00D46AA6" w:rsidRDefault="004C0654" w:rsidP="004C0654"/>
    <w:p w:rsidR="004C0654" w:rsidRPr="00D46AA6" w:rsidRDefault="004C0654" w:rsidP="004C0654">
      <w:r w:rsidRPr="00D46AA6">
        <w:rPr>
          <w:rFonts w:hint="eastAsia"/>
        </w:rPr>
        <w:t>2</w:t>
      </w:r>
      <w:r w:rsidRPr="00D46AA6">
        <w:t xml:space="preserve">. </w:t>
      </w:r>
      <w:r w:rsidRPr="00D46AA6">
        <w:rPr>
          <w:rFonts w:hint="eastAsia"/>
        </w:rPr>
        <w:t>最终交付验收：</w:t>
      </w:r>
    </w:p>
    <w:p w:rsidR="004C0654" w:rsidRPr="00D46AA6" w:rsidRDefault="004C0654" w:rsidP="004C0654">
      <w:r w:rsidRPr="00D46AA6">
        <w:rPr>
          <w:rFonts w:hint="eastAsia"/>
        </w:rPr>
        <w:t>1</w:t>
      </w:r>
      <w:r w:rsidRPr="00D46AA6">
        <w:rPr>
          <w:rFonts w:hint="eastAsia"/>
        </w:rPr>
        <w:t>）在硬件加工时的见证点严格按照</w:t>
      </w:r>
      <w:r w:rsidRPr="00D46AA6">
        <w:rPr>
          <w:rFonts w:hint="eastAsia"/>
        </w:rPr>
        <w:t>MIP</w:t>
      </w:r>
      <w:r w:rsidRPr="00D46AA6">
        <w:rPr>
          <w:rFonts w:hint="eastAsia"/>
        </w:rPr>
        <w:t>验收执行和质量控制；</w:t>
      </w:r>
    </w:p>
    <w:p w:rsidR="004C0654" w:rsidRPr="00D46AA6" w:rsidRDefault="004C0654" w:rsidP="004C0654">
      <w:pPr>
        <w:rPr>
          <w:rFonts w:hint="eastAsia"/>
        </w:rPr>
      </w:pPr>
      <w:r w:rsidRPr="00D46AA6">
        <w:rPr>
          <w:rFonts w:hint="eastAsia"/>
        </w:rPr>
        <w:t>2</w:t>
      </w:r>
      <w:r w:rsidRPr="00D46AA6">
        <w:rPr>
          <w:rFonts w:hint="eastAsia"/>
        </w:rPr>
        <w:t>）设备运送到甲方指定地点，进行安装联调；</w:t>
      </w:r>
    </w:p>
    <w:p w:rsidR="004C0654" w:rsidRPr="00D46AA6" w:rsidRDefault="004C0654" w:rsidP="004C0654">
      <w:pPr>
        <w:rPr>
          <w:rFonts w:hint="eastAsia"/>
        </w:rPr>
      </w:pPr>
      <w:r w:rsidRPr="00D46AA6">
        <w:rPr>
          <w:rFonts w:hint="eastAsia"/>
        </w:rPr>
        <w:t>3</w:t>
      </w:r>
      <w:r w:rsidRPr="00D46AA6">
        <w:rPr>
          <w:rFonts w:hint="eastAsia"/>
        </w:rPr>
        <w:t>）按照</w:t>
      </w:r>
      <w:r w:rsidRPr="00D46AA6">
        <w:t>章节</w:t>
      </w:r>
      <w:r w:rsidRPr="00D46AA6">
        <w:rPr>
          <w:rFonts w:hint="eastAsia"/>
        </w:rPr>
        <w:t>3.3</w:t>
      </w:r>
      <w:r w:rsidRPr="00D46AA6">
        <w:rPr>
          <w:rFonts w:hint="eastAsia"/>
        </w:rPr>
        <w:t>的</w:t>
      </w:r>
      <w:r w:rsidRPr="00D46AA6">
        <w:t>要求进行</w:t>
      </w:r>
      <w:r w:rsidRPr="00D46AA6">
        <w:rPr>
          <w:rFonts w:hint="eastAsia"/>
        </w:rPr>
        <w:t>逐条</w:t>
      </w:r>
      <w:r w:rsidRPr="00D46AA6">
        <w:t>验收；</w:t>
      </w:r>
    </w:p>
    <w:p w:rsidR="004C0654" w:rsidRPr="00D46AA6" w:rsidRDefault="004C0654" w:rsidP="004C0654">
      <w:r w:rsidRPr="00D46AA6">
        <w:rPr>
          <w:rFonts w:hint="eastAsia"/>
        </w:rPr>
        <w:t>4</w:t>
      </w:r>
      <w:r w:rsidRPr="00D46AA6">
        <w:rPr>
          <w:rFonts w:hint="eastAsia"/>
        </w:rPr>
        <w:t>）以某种样品（如碳化硼材料）为例模拟整个放气率测试规范流程；</w:t>
      </w:r>
    </w:p>
    <w:p w:rsidR="004C0654" w:rsidRDefault="004C0654" w:rsidP="004C0654">
      <w:r w:rsidRPr="00D46AA6">
        <w:t>5</w:t>
      </w:r>
      <w:r w:rsidRPr="00D46AA6">
        <w:rPr>
          <w:rFonts w:hint="eastAsia"/>
        </w:rPr>
        <w:t>）对</w:t>
      </w:r>
      <w:r w:rsidRPr="00D46AA6">
        <w:t>PI</w:t>
      </w:r>
      <w:r w:rsidRPr="00D46AA6">
        <w:rPr>
          <w:rFonts w:hint="eastAsia"/>
        </w:rPr>
        <w:t>项目组内部人员进行全流程操作培训。</w:t>
      </w:r>
    </w:p>
    <w:p w:rsidR="004C0654" w:rsidRDefault="004C0654" w:rsidP="004C0654">
      <w:pPr>
        <w:jc w:val="left"/>
        <w:rPr>
          <w:b/>
          <w:sz w:val="24"/>
        </w:rPr>
      </w:pPr>
      <w:r w:rsidRPr="004C0654">
        <w:rPr>
          <w:rFonts w:hint="eastAsia"/>
          <w:b/>
          <w:sz w:val="24"/>
        </w:rPr>
        <w:t>4</w:t>
      </w:r>
      <w:r w:rsidRPr="004C0654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付款方式：</w:t>
      </w:r>
    </w:p>
    <w:p w:rsidR="004C0654" w:rsidRPr="00D46AA6" w:rsidRDefault="004C0654" w:rsidP="004C0654">
      <w:pPr>
        <w:jc w:val="left"/>
        <w:rPr>
          <w:rFonts w:ascii="宋体" w:hAnsi="宋体"/>
          <w:szCs w:val="21"/>
        </w:rPr>
      </w:pPr>
      <w:r w:rsidRPr="00D46AA6">
        <w:rPr>
          <w:rFonts w:ascii="宋体" w:hAnsi="宋体" w:hint="eastAsia"/>
          <w:szCs w:val="21"/>
        </w:rPr>
        <w:t>合同签订后1</w:t>
      </w:r>
      <w:r w:rsidRPr="00D46AA6">
        <w:rPr>
          <w:rFonts w:ascii="宋体" w:hAnsi="宋体"/>
          <w:szCs w:val="21"/>
        </w:rPr>
        <w:t>5</w:t>
      </w:r>
      <w:r w:rsidRPr="00D46AA6">
        <w:rPr>
          <w:rFonts w:ascii="宋体" w:hAnsi="宋体" w:hint="eastAsia"/>
          <w:szCs w:val="21"/>
        </w:rPr>
        <w:t>个工作日内支付</w:t>
      </w:r>
      <w:r w:rsidRPr="00D46AA6">
        <w:rPr>
          <w:rFonts w:ascii="宋体" w:hAnsi="宋体"/>
          <w:szCs w:val="21"/>
        </w:rPr>
        <w:t>20</w:t>
      </w:r>
      <w:r w:rsidRPr="00D46AA6">
        <w:rPr>
          <w:rFonts w:ascii="宋体" w:hAnsi="宋体" w:hint="eastAsia"/>
          <w:szCs w:val="21"/>
        </w:rPr>
        <w:t>%；</w:t>
      </w:r>
    </w:p>
    <w:p w:rsidR="004C0654" w:rsidRPr="00D46AA6" w:rsidRDefault="004C0654" w:rsidP="004C0654">
      <w:pPr>
        <w:rPr>
          <w:rFonts w:ascii="宋体" w:hAnsi="宋体" w:hint="eastAsia"/>
          <w:szCs w:val="21"/>
        </w:rPr>
      </w:pPr>
      <w:r w:rsidRPr="00D46AA6">
        <w:rPr>
          <w:rFonts w:ascii="宋体" w:hAnsi="宋体" w:hint="eastAsia"/>
          <w:szCs w:val="21"/>
        </w:rPr>
        <w:t>设计方案通过P</w:t>
      </w:r>
      <w:r w:rsidRPr="00D46AA6">
        <w:rPr>
          <w:rFonts w:ascii="宋体" w:hAnsi="宋体"/>
          <w:szCs w:val="21"/>
        </w:rPr>
        <w:t>I</w:t>
      </w:r>
      <w:r w:rsidRPr="00D46AA6">
        <w:rPr>
          <w:rFonts w:ascii="宋体" w:hAnsi="宋体" w:hint="eastAsia"/>
          <w:szCs w:val="21"/>
        </w:rPr>
        <w:t>评审之后15个工作日</w:t>
      </w:r>
      <w:r>
        <w:rPr>
          <w:rFonts w:ascii="宋体" w:hAnsi="宋体" w:hint="eastAsia"/>
          <w:szCs w:val="21"/>
        </w:rPr>
        <w:t>支付</w:t>
      </w:r>
      <w:bookmarkStart w:id="7" w:name="_GoBack"/>
      <w:bookmarkEnd w:id="7"/>
      <w:r w:rsidRPr="00D46AA6">
        <w:rPr>
          <w:rFonts w:ascii="宋体" w:hAnsi="宋体" w:hint="eastAsia"/>
          <w:szCs w:val="21"/>
        </w:rPr>
        <w:t>进度款</w:t>
      </w:r>
      <w:r w:rsidRPr="00D46AA6">
        <w:rPr>
          <w:rFonts w:ascii="宋体" w:hAnsi="宋体"/>
          <w:szCs w:val="21"/>
        </w:rPr>
        <w:t>40%</w:t>
      </w:r>
    </w:p>
    <w:p w:rsidR="004C0654" w:rsidRPr="00D46AA6" w:rsidRDefault="004C0654" w:rsidP="004C0654">
      <w:pPr>
        <w:rPr>
          <w:rFonts w:ascii="宋体" w:hAnsi="宋体" w:hint="eastAsia"/>
          <w:szCs w:val="21"/>
        </w:rPr>
      </w:pPr>
      <w:r w:rsidRPr="00D46AA6">
        <w:rPr>
          <w:rFonts w:ascii="宋体" w:hAnsi="宋体" w:hint="eastAsia"/>
          <w:szCs w:val="21"/>
        </w:rPr>
        <w:t>现场验收合格后1</w:t>
      </w:r>
      <w:r w:rsidRPr="00D46AA6">
        <w:rPr>
          <w:rFonts w:ascii="宋体" w:hAnsi="宋体"/>
          <w:szCs w:val="21"/>
        </w:rPr>
        <w:t>5</w:t>
      </w:r>
      <w:r w:rsidRPr="00D46AA6">
        <w:rPr>
          <w:rFonts w:ascii="宋体" w:hAnsi="宋体" w:hint="eastAsia"/>
          <w:szCs w:val="21"/>
        </w:rPr>
        <w:t>个工作日内支付</w:t>
      </w:r>
      <w:r w:rsidRPr="00D46AA6">
        <w:rPr>
          <w:rFonts w:ascii="宋体" w:hAnsi="宋体"/>
          <w:szCs w:val="21"/>
        </w:rPr>
        <w:t>35%</w:t>
      </w:r>
      <w:r w:rsidRPr="00D46AA6">
        <w:rPr>
          <w:rFonts w:ascii="宋体" w:hAnsi="宋体" w:hint="eastAsia"/>
          <w:szCs w:val="21"/>
        </w:rPr>
        <w:t>；</w:t>
      </w:r>
    </w:p>
    <w:p w:rsidR="004C0654" w:rsidRPr="00D46AA6" w:rsidRDefault="004C0654" w:rsidP="004C0654">
      <w:pPr>
        <w:rPr>
          <w:rFonts w:ascii="宋体" w:hAnsi="宋体" w:hint="eastAsia"/>
          <w:szCs w:val="21"/>
        </w:rPr>
      </w:pPr>
      <w:r w:rsidRPr="00D46AA6">
        <w:rPr>
          <w:rFonts w:ascii="宋体" w:hAnsi="宋体" w:hint="eastAsia"/>
          <w:szCs w:val="21"/>
        </w:rPr>
        <w:t>5%质保期满无息支付。</w:t>
      </w:r>
    </w:p>
    <w:p w:rsidR="004C0654" w:rsidRPr="004C0654" w:rsidRDefault="004C0654" w:rsidP="004C0654">
      <w:pPr>
        <w:adjustRightInd w:val="0"/>
        <w:snapToGrid w:val="0"/>
        <w:spacing w:beforeLines="50" w:before="156" w:line="360" w:lineRule="auto"/>
        <w:rPr>
          <w:rFonts w:hint="eastAsia"/>
          <w:b/>
          <w:sz w:val="24"/>
        </w:rPr>
      </w:pPr>
    </w:p>
    <w:p w:rsidR="004C0654" w:rsidRPr="004C0654" w:rsidRDefault="004C0654"/>
    <w:sectPr w:rsidR="004C0654" w:rsidRPr="004C0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53F1"/>
    <w:multiLevelType w:val="hybridMultilevel"/>
    <w:tmpl w:val="2DC65468"/>
    <w:lvl w:ilvl="0" w:tplc="24C03F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F73391"/>
    <w:multiLevelType w:val="hybridMultilevel"/>
    <w:tmpl w:val="E1D42034"/>
    <w:lvl w:ilvl="0" w:tplc="F12E1AC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9C6F1D"/>
    <w:multiLevelType w:val="hybridMultilevel"/>
    <w:tmpl w:val="42D2DDA8"/>
    <w:lvl w:ilvl="0" w:tplc="0A8C0EA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54"/>
    <w:rsid w:val="004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CE51"/>
  <w15:chartTrackingRefBased/>
  <w15:docId w15:val="{3906F508-154E-4F72-BC85-853FC19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C0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C065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qFormat/>
    <w:rsid w:val="004C065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2022-06-20T03:08:00Z</dcterms:created>
  <dcterms:modified xsi:type="dcterms:W3CDTF">2022-06-20T03:13:00Z</dcterms:modified>
</cp:coreProperties>
</file>