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77" w:rsidRDefault="00FE6277" w:rsidP="00FE6277">
      <w:pPr>
        <w:widowControl/>
        <w:shd w:val="clear" w:color="auto" w:fill="FFFFFF"/>
        <w:spacing w:before="300" w:after="225" w:line="480" w:lineRule="atLeast"/>
        <w:jc w:val="center"/>
        <w:outlineLvl w:val="0"/>
        <w:rPr>
          <w:rFonts w:ascii="微软雅黑" w:eastAsia="微软雅黑" w:hAnsi="微软雅黑" w:hint="eastAsia"/>
          <w:color w:val="000000"/>
          <w:sz w:val="27"/>
          <w:szCs w:val="27"/>
        </w:rPr>
      </w:pPr>
      <w:r w:rsidRPr="00FE6277">
        <w:rPr>
          <w:rFonts w:ascii="微软雅黑" w:eastAsia="微软雅黑" w:hAnsi="微软雅黑" w:cs="宋体" w:hint="eastAsia"/>
          <w:b/>
          <w:bCs/>
          <w:color w:val="000000"/>
          <w:kern w:val="36"/>
          <w:sz w:val="36"/>
          <w:szCs w:val="36"/>
        </w:rPr>
        <w:t>中国共产党问责条例</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第一条  为了坚持党的领导，加强党的建设，全面从严治党，保证党的路线方针政策和党中央重大决策部署贯彻落实，规范和强化党的问责工作，根据《中国共产党章程》，制定本条例。</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第二条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第三条  党的问责工作应当坚持以下原则：</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（一）依规依纪、实事求是；</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（二）失责必问、问责必严；</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（三）权责一致、错责相当；</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（四）严管和厚爱结合、激励和约束并重；</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（五）惩前毖后、治病救人；</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（六）集体决定、分清责任。</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第四条  党委（党组）应当履行全面从严治党主体责任，加强对本地区本部门本单位问责工作的领导，追究在党的建设、党的事业中失职失责党组织和党的领导干部的主体责任、监督责任、领导责任。</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纪委应当履行监督专责，协助同级党委开展问责工作。纪委派驻（派出）机构按照职责权限开展问责工作。</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党的工作机关应当依据职能履行监督职责，实施本机关本系统本领域的问责工作。</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第五条  问责对象是党组织、党的领导干部，重点是党委（党组）、党的工作机关及其领导成员，纪委、纪委派驻（派出）机构及其领导成员。</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第六条  问责应当分清责任。党组织领导班子在职责范围内负有全面领导责任，领导班子主要负责人和直接主管的班子成员在职责范围内承担主要领导责任，参与决策和工作的班子成员在职责范围内承担重要领导责任。</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对党组织问责的，应当同时对该党组织中负有责任的领导班子成员进行问责。</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党组织和党的领导干部应当坚持把自己摆进去、把职责摆进去、把工作摆进去，注重从自身找问题、查原因，勇于担当、敢于负责，不得向下级党组织和干部推卸责任。</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第七条  党组织、党的领导干部违反党章和其他党内法规，不履行或者不正确履行职责，有下列情形之一，应当予以问责：</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（三）党的思想建设缺失，党性教育特别是理想信念宗旨教育流于形式，意识形态工作责任制落实不到位，造成严重后果或者恶劣影响的；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（五）党的作风建设松懈，落实中央八项规定及其实施细则精神不力，“四风”问题得不到有效整治，形式主义、官僚主义问题突出，执</w:t>
      </w:r>
      <w:r>
        <w:rPr>
          <w:rFonts w:ascii="微软雅黑" w:eastAsia="微软雅黑" w:hAnsi="微软雅黑" w:hint="eastAsia"/>
          <w:color w:val="000000"/>
          <w:sz w:val="27"/>
          <w:szCs w:val="27"/>
        </w:rPr>
        <w:lastRenderedPageBreak/>
        <w:t>行党中央决策部署表态多调门高、行动少落实差，脱离实际、脱离群众，拖沓敷衍、推诿扯皮，造成严重后果的；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（六）党的纪律建设抓得不严，维护党的政治纪律、组织纪律、廉洁纪律、群众纪律、工作纪律、生活纪律不力，导致违规违纪行为多发，造成恶劣影响的；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推进党风廉政建设和反腐败斗争不坚决、不扎实，削减存量、遏制增量不力，特别是对不收敛、不收手，问题线索反映集中、群众反映强烈，政治问题和经济问题交织的腐败案件放任不管，造成恶劣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（九）履行管理、监督职责不力，职责范围内发生重特大生产安全事故、群体性事件、公共安全事件，或者发生其他严重事故、事件，造成重大损失或者恶劣影响的；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（十一）其他应当问责的失职失责情形。</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第八条  对党组织的问责，根据危害程度以及具体情况，可以采取以下方式：</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（一）检查。责令作出书面检查并切实整改。</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（二）通报。责令整改，并在一定范围内通报。</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（三）改组。对失职失责，严重违犯党的纪律、本身又不能纠正的，应当予以改组。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对党的领导干部的问责，根据危害程度以及具体情况，可以采取以下方式：</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（一）通报。进行严肃批评，责令作出书面检查、切实整改，并在一定范围内通报。</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（二）诫勉。以谈话或者书面方式进行诫勉。</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（三）组织调整或者组织处理。对失职失责、危害较重，不适宜担任现职的，应当根据情况采取停职检查、调整职务、责令辞职、免职、降职等措施。</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（四）纪律处分。对失职失责、危害严重，应当给予纪律处分的，依照《中国共产党纪律处分条例》追究纪律责任。</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上述问责方式，可以单独使用，也可以依据规定合并使用。问责方式有影响期的，按照有关规定执行。</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第九条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应当启动问责调查未及时启动的，上级党组织应当责令有管理权限的党组织启动。根据问题性质或者工作需要，上级党组织可以直接启动问责调查，也可以指定其他党组织启动。</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对被立案审查的党组织、党的领导干部问责的，不再另行启动问责调查程序。</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第十条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调查工作结束后，调查组应当集体讨论，形成调查报告，列明调查对象基本情况、调查依据、调查过程，问责事实，调查对象的态度、认识及其申辩，处理意见以及依据，由调查组组长以及有关人员签名后，履行审批手续。</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第十二条  问责决定应当由有管理权限的党组织作出。</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对同级党委直接领导的党组织，纪委和党的工作机关报经同级党委或者其主要负责人批准，可以采取检查、通报方式进行问责。采取改组方式问责的，按照党章和有关党内法规规定的权限、程序执行。</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第十三条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被问责领导干部应当向作出问责决定的党组织写出书面检讨，并在民主生活会、组织生活会或者党的其他会议上作出深刻检查。建立健全</w:t>
      </w:r>
      <w:r>
        <w:rPr>
          <w:rFonts w:ascii="微软雅黑" w:eastAsia="微软雅黑" w:hAnsi="微软雅黑" w:hint="eastAsia"/>
          <w:color w:val="000000"/>
          <w:sz w:val="27"/>
          <w:szCs w:val="27"/>
        </w:rPr>
        <w:lastRenderedPageBreak/>
        <w:t>问责典型问题通报曝光制度，采取组织调整或者组织处理、纪律处分方式问责的，应当以适当方式公开。</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第十四条  被问责党组织、被问责领导干部及其所在党组织应当深刻汲取教训，明确整改措施。作出问责决定的党组织应当加强督促检查，推动以案促改。</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第十五条  需要对问责对象作出政务处分或者其他处理的，作出问责决定的党组织应当通报相关单位，相关单位应当及时处理并将结果通报或者报告作出问责决定的党组织。</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第十六条  实行终身问责，对失职失责性质恶劣、后果严重的，不论其责任人是否调离转岗、提拔或者退休等，都应当严肃问责。</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第十七条  有下列情形之一的，可以不予问责或者免予问责：</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（一）在推进改革中因缺乏经验、先行先试出现的失误，尚无明确限制的探索性试验中的失误，为推动发展的无意过失；</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（二）在集体决策中对错误决策提出明确反对意见或者保留意见的；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（三）在决策实施中已经履职尽责，但因不可抗力、难以预见等因素造成损失的。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对上级错误决定提出改正或者撤销意见未被采纳，而出现本条例第七条所列问责情形的，依照前款规定处理。上级错误决定明显违法违规的，应当承担相应的责任。</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第十八条  有下列情形之一，可以从轻或者减轻问责：</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（一）及时采取补救措施，有效挽回损失或者消除不良影响的；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（二）积极配合问责调查工作，主动承担责任的；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（三）党内法规规定的其他从轻、减轻情形。</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第十九条  有下列情形之一，应当从重或者加重问责：</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（一）对党中央、上级党组织三令五申的指示要求，不执行或者执行不力的；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（二）在接受问责调查和处理中，不如实报告情况，敷衍塞责、推卸责任，或者唆使、默许有关部门和人员弄虚作假，阻扰问责工作的；</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（三）党内法规规定的其他从重、加重情形。</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第二十条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申诉期间，不停止问责决定的执行。</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第二十一条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党组织、党的领导干部滥用问责，或者在问责工作中严重不负责任，造成不良影响的，应当严肃追究责任。</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第二十二条  正确对待被问责干部，对影响期满、表现好的干部，符合条件的，按照干部选拔任用有关规定正常使用。</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第二十三条  本条例所涉及的审批权限均指最低审批权限，工作中根据需要可以按照更高层级的审批权限报批。</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第二十四条  纪委派驻（派出）机构除执行本条例外，还应当执行党中央以及中央纪委相关规定。</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第二十五条  中央军事委员会可以根据本条例制定相关规定。</w:t>
      </w:r>
    </w:p>
    <w:p w:rsidR="00FE6277" w:rsidRDefault="00FE6277" w:rsidP="00FE6277">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第二十六条  本条例由中央纪律检查委员会负责解释。</w:t>
      </w:r>
    </w:p>
    <w:p w:rsidR="0052120A" w:rsidRPr="00FE6277" w:rsidRDefault="00FE6277" w:rsidP="00FE6277">
      <w:pPr>
        <w:pStyle w:val="a3"/>
        <w:shd w:val="clear" w:color="auto" w:fill="FFFFFF"/>
        <w:spacing w:before="150" w:beforeAutospacing="0" w:after="150" w:afterAutospacing="0" w:line="540" w:lineRule="atLeast"/>
        <w:ind w:firstLine="480"/>
      </w:pPr>
      <w:r>
        <w:rPr>
          <w:rFonts w:ascii="微软雅黑" w:eastAsia="微软雅黑" w:hAnsi="微软雅黑" w:hint="eastAsia"/>
          <w:color w:val="000000"/>
          <w:sz w:val="27"/>
          <w:szCs w:val="27"/>
        </w:rPr>
        <w:t>第二十七条  本条例自2019年9月1日起施行。2016年7月8日中共中央印发的《中国共产党问责条例》同时废止。此前发布的有关问责的规定，凡与本条例不一致的，按照本条例执行。</w:t>
      </w:r>
    </w:p>
    <w:sectPr w:rsidR="0052120A" w:rsidRPr="00FE6277" w:rsidSect="005212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6277"/>
    <w:rsid w:val="0052120A"/>
    <w:rsid w:val="00FE6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0A"/>
    <w:pPr>
      <w:widowControl w:val="0"/>
      <w:jc w:val="both"/>
    </w:pPr>
  </w:style>
  <w:style w:type="paragraph" w:styleId="1">
    <w:name w:val="heading 1"/>
    <w:basedOn w:val="a"/>
    <w:link w:val="1Char"/>
    <w:uiPriority w:val="9"/>
    <w:qFormat/>
    <w:rsid w:val="00FE62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627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E627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87539114">
      <w:bodyDiv w:val="1"/>
      <w:marLeft w:val="0"/>
      <w:marRight w:val="0"/>
      <w:marTop w:val="0"/>
      <w:marBottom w:val="0"/>
      <w:divBdr>
        <w:top w:val="none" w:sz="0" w:space="0" w:color="auto"/>
        <w:left w:val="none" w:sz="0" w:space="0" w:color="auto"/>
        <w:bottom w:val="none" w:sz="0" w:space="0" w:color="auto"/>
        <w:right w:val="none" w:sz="0" w:space="0" w:color="auto"/>
      </w:divBdr>
    </w:div>
    <w:div w:id="13415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711</Words>
  <Characters>4057</Characters>
  <Application>Microsoft Office Word</Application>
  <DocSecurity>0</DocSecurity>
  <Lines>33</Lines>
  <Paragraphs>9</Paragraphs>
  <ScaleCrop>false</ScaleCrop>
  <Company>Microsoft</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2019-09-30T07:22:00Z</dcterms:created>
  <dcterms:modified xsi:type="dcterms:W3CDTF">2019-09-30T07:23:00Z</dcterms:modified>
</cp:coreProperties>
</file>