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电子版 □ 纸质版（    ）份</w:t>
            </w:r>
          </w:p>
        </w:tc>
      </w:tr>
    </w:tbl>
    <w:p/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 w:ascii="Times New Roman" w:hAnsi="Times New Roman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  <w:lang w:val="en-US"/>
              </w:rPr>
              <w:t>、执行风险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□合同内容不涉及国家秘密和本单位工作秘密。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□自筹资金的合规性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276" w:lineRule="auto"/>
        <w:ind w:left="720" w:firstLine="0" w:firstLineChars="0"/>
        <w:rPr>
          <w:rFonts w:hint="eastAsia"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（1）项目结余资金；（2）横向经费；（3）联合企业支持；（4）其他</w:t>
      </w: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p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0D10220"/>
    <w:rsid w:val="50C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1477</Words>
  <Characters>1487</Characters>
  <Paragraphs>135</Paragraphs>
  <TotalTime>21</TotalTime>
  <ScaleCrop>false</ScaleCrop>
  <LinksUpToDate>false</LinksUpToDate>
  <CharactersWithSpaces>1723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琳琳</cp:lastModifiedBy>
  <dcterms:modified xsi:type="dcterms:W3CDTF">2022-05-05T08:03:52Z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693B2A63FE304E4D90E9786C526C41B2</vt:lpwstr>
  </property>
</Properties>
</file>